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Three-Acid Digest - Carbon and Resin, Base Metals</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JSEA-PRO-LAB-302-012</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SWI-PRO-LAB-302-012  Three-Acid Digest - Carbon and Resin, Base Metals</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HM-PRC-VXX-PRO213  Laboratory Wet Chemistry and Digestion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302  Wet Lab</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JSEA-PRO-LAB-302-012 in HM-MMM-WHS-REG-JSEA-PRO-updated_10, tab JSEA_LAB</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three-acid digest - carbon and resin, base metals in 302  Wet Lab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Digest carbon and resin in three acids for base metals.</w:t>
      </w:r>
    </w:p>
    <w:p>
      <w:pPr>
        <w:spacing w:after="60" w:before="0" w:line="245"/>
      </w:pPr>
      <w:r>
        <w:rPr>
          <w:rFonts w:ascii="Calibri" w:cs="Calibri" w:eastAsia="Calibri" w:hAnsi="Calibri"/>
          <w:sz w:val="17"/>
          <w:szCs w:val="17"/>
        </w:rPr>
        <w:t xml:space="preserve">It is read with work instruction SWI-PRO-LAB-302-012, which gives the step-by-step method, and with HM-PRC-VXX-PRO213 Laboratory Wet Chemistry and Digestion,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Confirm the ash is complete before digesting.</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Contact with sulphuric or hydrochloric acid - burn to skin or eyes</w:t>
            </w:r>
          </w:p>
          <w:p>
            <w:pPr>
              <w:spacing w:after="0" w:line="235"/>
            </w:pPr>
            <w:r>
              <w:rPr>
                <w:rFonts w:ascii="Calibri" w:cs="Calibri" w:eastAsia="Calibri" w:hAnsi="Calibri"/>
                <w:sz w:val="15"/>
                <w:szCs w:val="15"/>
              </w:rPr>
              <w:t xml:space="preserve">Inhalation of acid fume or reagent vapour at the bench</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p>
            <w:pPr>
              <w:spacing w:after="0" w:line="235"/>
            </w:pPr>
            <w:r>
              <w:rPr>
                <w:rFonts w:ascii="Calibri" w:cs="Calibri" w:eastAsia="Calibri" w:hAnsi="Calibri"/>
                <w:sz w:val="15"/>
                <w:szCs w:val="15"/>
              </w:rPr>
              <w:t xml:space="preserve">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Transfer the ash quantitatively from the crucible.</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Splash of cyanide-bearing slurry or solution to skin or eyes</w:t>
            </w:r>
          </w:p>
          <w:p>
            <w:pPr>
              <w:spacing w:after="0" w:line="235"/>
            </w:pPr>
            <w:r>
              <w:rPr>
                <w:rFonts w:ascii="Calibri" w:cs="Calibri" w:eastAsia="Calibri" w:hAnsi="Calibri"/>
                <w:sz w:val="15"/>
                <w:szCs w:val="15"/>
              </w:rPr>
              <w:t xml:space="preserve">Cross-contamination from a container or cutter not cleaned between points</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pPr>
              <w:spacing w:after="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Add the acids in the order the method states, in the fume cupboard.</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Contact with sulphuric or hydrochloric acid - burn to skin or eyes</w:t>
            </w:r>
          </w:p>
          <w:p>
            <w:pPr>
              <w:spacing w:after="0" w:line="235"/>
            </w:pPr>
            <w:r>
              <w:rPr>
                <w:rFonts w:ascii="Calibri" w:cs="Calibri" w:eastAsia="Calibri" w:hAnsi="Calibri"/>
                <w:sz w:val="15"/>
                <w:szCs w:val="15"/>
              </w:rPr>
              <w:t xml:space="preserve">Inhalation of acid fume or reagent vapour at the bench</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p>
            <w:pPr>
              <w:spacing w:after="0" w:line="235"/>
            </w:pPr>
            <w:r>
              <w:rPr>
                <w:rFonts w:ascii="Calibri" w:cs="Calibri" w:eastAsia="Calibri" w:hAnsi="Calibri"/>
                <w:sz w:val="15"/>
                <w:szCs w:val="15"/>
              </w:rPr>
              <w:t xml:space="preserve">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Take to fumes as directed, watching the volume.</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Inhalation of acid fume or reagent vapour at the bench</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Cool, take up and make to volume.</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Contact with sulphuric or hydrochloric acid - burn to skin or eyes</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Keep carbon and resin digests on their own glassware and their own standards.</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Contact with sulphuric or hydrochloric acid - burn to skin or eyes</w:t>
            </w:r>
          </w:p>
          <w:p>
            <w:pPr>
              <w:spacing w:after="30" w:line="235"/>
            </w:pPr>
            <w:r>
              <w:rPr>
                <w:rFonts w:ascii="Calibri" w:cs="Calibri" w:eastAsia="Calibri" w:hAnsi="Calibri"/>
                <w:sz w:val="15"/>
                <w:szCs w:val="15"/>
              </w:rPr>
              <w:t xml:space="preserve">Inhalation of acid fume or reagent vapour at the bench</w:t>
            </w:r>
          </w:p>
          <w:p>
            <w:pPr>
              <w:spacing w:after="0" w:line="235"/>
            </w:pPr>
            <w:r>
              <w:rPr>
                <w:rFonts w:ascii="Calibri" w:cs="Calibri" w:eastAsia="Calibri" w:hAnsi="Calibri"/>
                <w:sz w:val="15"/>
                <w:szCs w:val="15"/>
              </w:rPr>
              <w:t xml:space="preserve">Cross-contamination from a container or cutter not cleaned between points</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p>
            <w:pPr>
              <w:spacing w:after="30" w:line="235"/>
            </w:pPr>
            <w:r>
              <w:rPr>
                <w:rFonts w:ascii="Calibri" w:cs="Calibri" w:eastAsia="Calibri" w:hAnsi="Calibri"/>
                <w:sz w:val="15"/>
                <w:szCs w:val="15"/>
              </w:rPr>
              <w:t xml:space="preserve">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p>
            <w:pPr>
              <w:spacing w:after="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Acid-resistant gloves, apron and face shield</w:t>
      </w:r>
    </w:p>
    <w:p>
      <w:pPr>
        <w:pStyle w:val="ListParagraph"/>
        <w:numPr>
          <w:ilvl w:val="0"/>
          <w:numId w:val="1"/>
        </w:numPr>
        <w:spacing w:after="60" w:line="245"/>
      </w:pPr>
      <w:r>
        <w:rPr>
          <w:rFonts w:ascii="Calibri" w:cs="Calibri" w:eastAsia="Calibri" w:hAnsi="Calibri"/>
          <w:sz w:val="17"/>
          <w:szCs w:val="17"/>
        </w:rPr>
        <w:t xml:space="preserve">Chemical splash goggles</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Frequency: Every base metal batch on carbon or resin.</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Confirm the ash is complete before digesting.</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Transfer the ash quantitatively from the crucible.</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Add the acids in the order the method states, in the fume cupboard.</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Take to fumes as directed, watching the volume.</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Cool, take up and make to volume.</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Keep carbon and resin digests on their own glassware and their own standards.</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Fume cupboard</w:t>
      </w:r>
    </w:p>
    <w:p>
      <w:pPr>
        <w:pStyle w:val="ListParagraph"/>
        <w:numPr>
          <w:ilvl w:val="0"/>
          <w:numId w:val="1"/>
        </w:numPr>
        <w:spacing w:after="60" w:line="245"/>
      </w:pPr>
      <w:r>
        <w:rPr>
          <w:rFonts w:ascii="Calibri" w:cs="Calibri" w:eastAsia="Calibri" w:hAnsi="Calibri"/>
          <w:sz w:val="17"/>
          <w:szCs w:val="17"/>
        </w:rPr>
        <w:t xml:space="preserve">Hotplate</w:t>
      </w:r>
    </w:p>
    <w:p>
      <w:pPr>
        <w:pStyle w:val="ListParagraph"/>
        <w:numPr>
          <w:ilvl w:val="0"/>
          <w:numId w:val="1"/>
        </w:numPr>
        <w:spacing w:after="60" w:line="245"/>
      </w:pPr>
      <w:r>
        <w:rPr>
          <w:rFonts w:ascii="Calibri" w:cs="Calibri" w:eastAsia="Calibri" w:hAnsi="Calibri"/>
          <w:sz w:val="17"/>
          <w:szCs w:val="17"/>
        </w:rPr>
        <w:t xml:space="preserve">Dedicated carbon and resin beakers</w:t>
      </w:r>
    </w:p>
    <w:p>
      <w:pPr>
        <w:pStyle w:val="ListParagraph"/>
        <w:numPr>
          <w:ilvl w:val="0"/>
          <w:numId w:val="1"/>
        </w:numPr>
        <w:spacing w:after="60" w:line="245"/>
      </w:pPr>
      <w:r>
        <w:rPr>
          <w:rFonts w:ascii="Calibri" w:cs="Calibri" w:eastAsia="Calibri" w:hAnsi="Calibri"/>
          <w:sz w:val="17"/>
          <w:szCs w:val="17"/>
        </w:rPr>
        <w:t xml:space="preserve">Three-acid reagent set</w:t>
      </w:r>
    </w:p>
    <w:p>
      <w:pPr>
        <w:pStyle w:val="ListParagraph"/>
        <w:numPr>
          <w:ilvl w:val="0"/>
          <w:numId w:val="1"/>
        </w:numPr>
        <w:spacing w:after="60" w:line="245"/>
      </w:pPr>
      <w:r>
        <w:rPr>
          <w:rFonts w:ascii="Calibri" w:cs="Calibri" w:eastAsia="Calibri" w:hAnsi="Calibri"/>
          <w:sz w:val="17"/>
          <w:szCs w:val="17"/>
        </w:rPr>
        <w:t xml:space="preserve">Volumetric flasks</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SWI-PRO-LAB-302-012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SWI-PRO-LAB-302-012.</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KBK-MIR-LAB-WET-SOP-041 carbon and WET-SOP-042 resin, base metals</w:t>
      </w:r>
    </w:p>
    <w:p>
      <w:pPr>
        <w:pStyle w:val="ListParagraph"/>
        <w:numPr>
          <w:ilvl w:val="0"/>
          <w:numId w:val="1"/>
        </w:numPr>
        <w:spacing w:after="60" w:line="245"/>
      </w:pPr>
      <w:r>
        <w:rPr>
          <w:rFonts w:ascii="Calibri" w:cs="Calibri" w:eastAsia="Calibri" w:hAnsi="Calibri"/>
          <w:sz w:val="17"/>
          <w:szCs w:val="17"/>
        </w:rPr>
        <w:t xml:space="preserve">Heritage register line JSEA-PRO-LAB-302-012, tab JSEA_LAB / SWI-LAB</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JSEA-PRO-LAB-302-012</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JSEA-PRO-LAB-302-012  ·  Three-Acid Digest - Carbon and Resin, Base Metals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