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Solution Sample Preparation for Base Metal Analysis</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JSEA-PRO-LAB-302-014</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SWI-PRO-LAB-302-014  Solution Sample Preparation for Base Metal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JSEA-PRO-LAB-302-014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solution sample preparation for base metal analysis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solution samples for base metal analysis.</w:t>
      </w:r>
    </w:p>
    <w:p>
      <w:pPr>
        <w:spacing w:after="60" w:before="0" w:line="245"/>
      </w:pPr>
      <w:r>
        <w:rPr>
          <w:rFonts w:ascii="Calibri" w:cs="Calibri" w:eastAsia="Calibri" w:hAnsi="Calibri"/>
          <w:sz w:val="17"/>
          <w:szCs w:val="17"/>
        </w:rPr>
        <w:t xml:space="preserve">It is read with work instruction SWI-PRO-LAB-302-014,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Filter or settle the sample if it is not clear. Solids in an aspirated solution block the nebuliser.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Match the acid matrix of the samples to the standards. A matrix mismatch shifts the whole calibration.</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Dilute to bring the expected concentration into the working range of the calibration, and record the dilution factor.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Make to the mark and mix by inversion.</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Label with the sample number, batch and dilution factor. A lost dilution factor makes the result meaningless.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Keep prepared solutions capped until they are read.</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base metal solution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Filter or settle the sample if it is not clear. Solids in an aspirated solution block the nebuliser.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Match the acid matrix of the samples to the standards. A matrix mismatch shifts the whole calibration.</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Dilute to bring the expected concentration into the working range of the calibration, and record the dilution factor.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Make to the mark and mix by inversion.</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Label with the sample number, batch and dilution factor. A lost dilution factor makes the result meaningless.</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Keep prepared solutions capped until they are read.</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Fume cupboard</w:t>
      </w:r>
    </w:p>
    <w:p>
      <w:pPr>
        <w:pStyle w:val="ListParagraph"/>
        <w:numPr>
          <w:ilvl w:val="0"/>
          <w:numId w:val="1"/>
        </w:numPr>
        <w:spacing w:after="60" w:line="245"/>
      </w:pPr>
      <w:r>
        <w:rPr>
          <w:rFonts w:ascii="Calibri" w:cs="Calibri" w:eastAsia="Calibri" w:hAnsi="Calibri"/>
          <w:sz w:val="17"/>
          <w:szCs w:val="17"/>
        </w:rPr>
        <w:t xml:space="preserve">Volumetric flasks and pipettes</w:t>
      </w:r>
    </w:p>
    <w:p>
      <w:pPr>
        <w:pStyle w:val="ListParagraph"/>
        <w:numPr>
          <w:ilvl w:val="0"/>
          <w:numId w:val="1"/>
        </w:numPr>
        <w:spacing w:after="60" w:line="245"/>
      </w:pPr>
      <w:r>
        <w:rPr>
          <w:rFonts w:ascii="Calibri" w:cs="Calibri" w:eastAsia="Calibri" w:hAnsi="Calibri"/>
          <w:sz w:val="17"/>
          <w:szCs w:val="17"/>
        </w:rPr>
        <w:t xml:space="preserve">Acid for matrix matching</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SWI-PRO-LAB-302-014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SWI-PRO-LAB-302-014.</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KBK-MIR-LAB-WET-SOP-037 Penyiapan sampel larutan untuk basemetal</w:t>
      </w:r>
    </w:p>
    <w:p>
      <w:pPr>
        <w:pStyle w:val="ListParagraph"/>
        <w:numPr>
          <w:ilvl w:val="0"/>
          <w:numId w:val="1"/>
        </w:numPr>
        <w:spacing w:after="60" w:line="245"/>
      </w:pPr>
      <w:r>
        <w:rPr>
          <w:rFonts w:ascii="Calibri" w:cs="Calibri" w:eastAsia="Calibri" w:hAnsi="Calibri"/>
          <w:sz w:val="17"/>
          <w:szCs w:val="17"/>
        </w:rPr>
        <w:t xml:space="preserve">Heritage register line JSEA-PRO-LAB-302-014,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JSEA-PRO-LAB-302-014</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JSEA-PRO-LAB-302-014  ·  Solution Sample Preparation for Base Metal Analysis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