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Plant Solution Sample Preparation and Dilution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SWI-PRO-LAB-302-015  Plant Solution Sample Preparation and Dilution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plant solution sample preparation and dilution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and dilute plant solution samples for analysis.</w:t>
      </w:r>
    </w:p>
    <w:p>
      <w:pPr>
        <w:spacing w:after="60" w:before="0" w:line="245"/>
      </w:pPr>
      <w:r>
        <w:rPr>
          <w:rFonts w:ascii="Calibri" w:cs="Calibri" w:eastAsia="Calibri" w:hAnsi="Calibri"/>
          <w:sz w:val="17"/>
          <w:szCs w:val="17"/>
        </w:rPr>
        <w:t xml:space="preserve">It is read with work instruction SWI-PRO-LAB-302-015,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Record the sample as received - point, date, time - before anything is done to it.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Filter if not clear, and note that filtration was done.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Preserve the sample as the determination requires. A cyanide solution left open loses cyanide.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Dilute into the calibration range and record the dilution factor.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to the mark and mix by inversion.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Label fully and cap until read.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plant solution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Record the sample as received - point, date, time - before anything is done to it.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Filter if not clear, and note that filtration was done.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Preserve the sample as the determination requires. A cyanide solution left open loses cyanide.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Dilute into the calibration range and record the dilution factor.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to the mark and mix by inversion.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Label fully and cap until read.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Volumetric flasks and pipettes</w:t>
      </w:r>
    </w:p>
    <w:p>
      <w:pPr>
        <w:pStyle w:val="ListParagraph"/>
        <w:numPr>
          <w:ilvl w:val="0"/>
          <w:numId w:val="1"/>
        </w:numPr>
        <w:spacing w:after="60" w:line="245"/>
      </w:pPr>
      <w:r>
        <w:rPr>
          <w:rFonts w:ascii="Calibri" w:cs="Calibri" w:eastAsia="Calibri" w:hAnsi="Calibri"/>
          <w:sz w:val="17"/>
          <w:szCs w:val="17"/>
        </w:rPr>
        <w:t xml:space="preserve">Filter papers and funnels</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KBK-MIR-LAB-WET-SOP-052 Penyiapan Sampel Solution</w:t>
      </w:r>
    </w:p>
    <w:p>
      <w:pPr>
        <w:pStyle w:val="ListParagraph"/>
        <w:numPr>
          <w:ilvl w:val="0"/>
          <w:numId w:val="1"/>
        </w:numPr>
        <w:spacing w:after="60" w:line="245"/>
      </w:pPr>
      <w:r>
        <w:rPr>
          <w:rFonts w:ascii="Calibri" w:cs="Calibri" w:eastAsia="Calibri" w:hAnsi="Calibri"/>
          <w:sz w:val="17"/>
          <w:szCs w:val="17"/>
        </w:rPr>
        <w:t xml:space="preserve">Heritage register line JSEA-PRO-LAB-302-015,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JSEA-PRO-LAB-302-015  ·  Plant Solution Sample Preparation and Dilution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