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Preparation of Aqua Regia and Mixed Acid Reagents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SWI-PRO-LAB-302-016  Preparation of Aqua Regia and Mixed Acid Reagents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JSEA-PRO-LAB-302-016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preparation of aqua regia and mixed acid reagents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Prepare aqua regia and the mixed acid reagents.</w:t>
      </w:r>
    </w:p>
    <w:p>
      <w:pPr>
        <w:pStyle w:val="ListParagraph"/>
        <w:numPr>
          <w:ilvl w:val="0"/>
          <w:numId w:val="1"/>
        </w:numPr>
        <w:spacing w:after="60" w:line="245"/>
      </w:pPr>
      <w:r>
        <w:rPr>
          <w:rFonts w:ascii="Calibri" w:cs="Calibri" w:eastAsia="Calibri" w:hAnsi="Calibri"/>
          <w:sz w:val="17"/>
          <w:szCs w:val="17"/>
        </w:rPr>
        <w:t xml:space="preserve">These are the working reagents behind every digest. A wrongly made batch corrupts every result until someone notices.</w:t>
      </w:r>
    </w:p>
    <w:p>
      <w:pPr>
        <w:spacing w:after="60" w:before="0" w:line="245"/>
      </w:pPr>
      <w:r>
        <w:rPr>
          <w:rFonts w:ascii="Calibri" w:cs="Calibri" w:eastAsia="Calibri" w:hAnsi="Calibri"/>
          <w:sz w:val="17"/>
          <w:szCs w:val="17"/>
        </w:rPr>
        <w:t xml:space="preserve">It is read with work instruction SWI-PRO-LAB-302-016,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Work in the fume cupboard with the scrubber running.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ALWAYS add acid to water, never water to acid. The reverse boils and spits concentrated acid.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Add the acids in the order and ratio the method states.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Do NOT make aqua regia in advance and store it in a closed container. It decomposes and pressurises. Make what the batch needs, when the batch needs it.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Release from a pressurised sample line, hose or fitting</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Allow to stand for the activation period the method sets before use.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Label with identity, ratio, preparation date and preparer.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in the solution register.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As the solution register requires.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Work in the fume cupboard with the scrubber running.</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ALWAYS add acid to water, never water to acid. The reverse boils and spits concentrated acid.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Add the acids in the order and ratio the method states.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Do NOT make aqua regia in advance and store it in a closed container. It decomposes and pressurises. Make what the batch needs, when the batch needs it.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Allow to stand for the activation period the method sets before use.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Label with identity, ratio, preparation date and preparer.</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in the solution register.</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Volumetric glassware</w:t>
      </w:r>
    </w:p>
    <w:p>
      <w:pPr>
        <w:pStyle w:val="ListParagraph"/>
        <w:numPr>
          <w:ilvl w:val="0"/>
          <w:numId w:val="1"/>
        </w:numPr>
        <w:spacing w:after="60" w:line="245"/>
      </w:pPr>
      <w:r>
        <w:rPr>
          <w:rFonts w:ascii="Calibri" w:cs="Calibri" w:eastAsia="Calibri" w:hAnsi="Calibri"/>
          <w:sz w:val="17"/>
          <w:szCs w:val="17"/>
        </w:rPr>
        <w:t xml:space="preserve">Hydrochloric and nitric acid</w:t>
      </w:r>
    </w:p>
    <w:p>
      <w:pPr>
        <w:pStyle w:val="ListParagraph"/>
        <w:numPr>
          <w:ilvl w:val="0"/>
          <w:numId w:val="1"/>
        </w:numPr>
        <w:spacing w:after="60" w:line="245"/>
      </w:pPr>
      <w:r>
        <w:rPr>
          <w:rFonts w:ascii="Calibri" w:cs="Calibri" w:eastAsia="Calibri" w:hAnsi="Calibri"/>
          <w:sz w:val="17"/>
          <w:szCs w:val="17"/>
        </w:rPr>
        <w:t xml:space="preserve">Labels</w:t>
      </w:r>
    </w:p>
    <w:p>
      <w:pPr>
        <w:pStyle w:val="ListParagraph"/>
        <w:numPr>
          <w:ilvl w:val="0"/>
          <w:numId w:val="1"/>
        </w:numPr>
        <w:spacing w:after="60" w:line="245"/>
      </w:pPr>
      <w:r>
        <w:rPr>
          <w:rFonts w:ascii="Calibri" w:cs="Calibri" w:eastAsia="Calibri" w:hAnsi="Calibri"/>
          <w:sz w:val="17"/>
          <w:szCs w:val="17"/>
        </w:rPr>
        <w:t xml:space="preserve">Solution register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SWI-PRO-LAB-302-016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SWI-PRO-LAB-302-016.</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KBK-MIR-LAB-WET-SOP-026 Larutan BARE and WET-SOP-027 mixture acids</w:t>
      </w:r>
    </w:p>
    <w:p>
      <w:pPr>
        <w:pStyle w:val="ListParagraph"/>
        <w:numPr>
          <w:ilvl w:val="0"/>
          <w:numId w:val="1"/>
        </w:numPr>
        <w:spacing w:after="60" w:line="245"/>
      </w:pPr>
      <w:r>
        <w:rPr>
          <w:rFonts w:ascii="Calibri" w:cs="Calibri" w:eastAsia="Calibri" w:hAnsi="Calibri"/>
          <w:sz w:val="17"/>
          <w:szCs w:val="17"/>
        </w:rPr>
        <w:t xml:space="preserve">Heritage register line JSEA-PRO-LAB-302-016,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JSEA-PRO-LAB-302-016</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JSEA-PRO-LAB-302-016  ·  Preparation of Aqua Regia and Mixed Acid Reagents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