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Chemical Issue, Decanting and Acid Transfer from IBC or Drum</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JSEA-PRO-LAB-302-021</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SWI-PRO-LAB-302-021  Chemical Issue, Decanting and Acid Transfer from IBC or Drum</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HM-PRC-VXX-PRO213  Laboratory Wet Chemistry and Digestion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302  Wet 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JSEA-PRO-LAB-302-021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chemical issue, decanting and acid transfer from ibc or drum in 302  Wet Lab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Issue, decant and transfer chemicals, including acid from an IBC or drum.</w:t>
      </w:r>
    </w:p>
    <w:p>
      <w:pPr>
        <w:pStyle w:val="ListParagraph"/>
        <w:numPr>
          <w:ilvl w:val="0"/>
          <w:numId w:val="1"/>
        </w:numPr>
        <w:spacing w:after="60" w:line="245"/>
      </w:pPr>
      <w:r>
        <w:rPr>
          <w:rFonts w:ascii="Calibri" w:cs="Calibri" w:eastAsia="Calibri" w:hAnsi="Calibri"/>
          <w:sz w:val="17"/>
          <w:szCs w:val="17"/>
        </w:rPr>
        <w:t xml:space="preserve">Decanting concentrated acid from a bulk container is the highest-consequence routine task in the wet laboratory.</w:t>
      </w:r>
    </w:p>
    <w:p>
      <w:pPr>
        <w:spacing w:after="60" w:before="0" w:line="245"/>
      </w:pPr>
      <w:r>
        <w:rPr>
          <w:rFonts w:ascii="Calibri" w:cs="Calibri" w:eastAsia="Calibri" w:hAnsi="Calibri"/>
          <w:sz w:val="17"/>
          <w:szCs w:val="17"/>
        </w:rPr>
        <w:t xml:space="preserve">It is read with work instruction SWI-PRO-LAB-302-021, which gives the step-by-step method, and with HM-PRC-VXX-PRO213 Laboratory Wet Chemistry and Digestion,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Read the safety data sheet before handling any chemical you have not handled before.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Wear the full acid PPE set - face shield, apron, gloves and boots - for any acid decant. Safety glasses alone are not enough.</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Splash of cyanide-bearing slurry or solution to skin or eyes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Confirm the receiving container is the right material, clean, labelled and large enough with freeboard.</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Manual handling injury from carrying sample buckets, containers and composite drums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Never decant by tipping a drum by hand. Use the pump or the drum cradle.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Manual handling injury from carrying sample buckets, containers and composite drums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Decant in the fume cupboard or at the designated decanting point with the spill kit at hand.</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Splash of cyanide-bearing slurry or solution to skin or eyes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Add acid to water, never water to acid, for any dilution.</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Inhalation of acid fume or reagent vapour at the bench</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Label the receiving container immediately - before it leaves the decanting point.</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Splash of cyanide-bearing slurry or solution to skin or eyes</w:t>
            </w:r>
          </w:p>
          <w:p>
            <w:pPr>
              <w:spacing w:after="30" w:line="235"/>
            </w:pPr>
            <w:r>
              <w:rPr>
                <w:rFonts w:ascii="Calibri" w:cs="Calibri" w:eastAsia="Calibri" w:hAnsi="Calibri"/>
                <w:sz w:val="15"/>
                <w:szCs w:val="15"/>
              </w:rPr>
              <w:t xml:space="preserve">Manual handling injury from carrying sample buckets, containers and composite drums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3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Record the issue in the chemical register and return the bulk container to its store.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Manual handling injury from carrying sample buckets, containers and composite drums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issue and every decant.</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Read the safety data sheet before handling any chemical you have not handled before.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Wear the full acid PPE set - face shield, apron, gloves and boots - for any acid decant. Safety glasses alone are not enough.</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Confirm the receiving container is the right material, clean, labelled and large enough with freeboard.</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Never decant by tipping a drum by hand. Use the pump or the drum cradle.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Decant in the fume cupboard or at the designated decanting point with the spill kit at hand.</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Add acid to water, never water to acid, for any dilution.</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Label the receiving container immediately - before it leaves the decanting point.</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the issue in the chemical register and return the bulk container to its store.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Fume cupboard</w:t>
      </w:r>
    </w:p>
    <w:p>
      <w:pPr>
        <w:pStyle w:val="ListParagraph"/>
        <w:numPr>
          <w:ilvl w:val="0"/>
          <w:numId w:val="1"/>
        </w:numPr>
        <w:spacing w:after="60" w:line="245"/>
      </w:pPr>
      <w:r>
        <w:rPr>
          <w:rFonts w:ascii="Calibri" w:cs="Calibri" w:eastAsia="Calibri" w:hAnsi="Calibri"/>
          <w:sz w:val="17"/>
          <w:szCs w:val="17"/>
        </w:rPr>
        <w:t xml:space="preserve">Drum or IBC pump</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Spill kit</w:t>
      </w:r>
    </w:p>
    <w:p>
      <w:pPr>
        <w:pStyle w:val="ListParagraph"/>
        <w:numPr>
          <w:ilvl w:val="0"/>
          <w:numId w:val="1"/>
        </w:numPr>
        <w:spacing w:after="60" w:line="245"/>
      </w:pPr>
      <w:r>
        <w:rPr>
          <w:rFonts w:ascii="Calibri" w:cs="Calibri" w:eastAsia="Calibri" w:hAnsi="Calibri"/>
          <w:sz w:val="17"/>
          <w:szCs w:val="17"/>
        </w:rPr>
        <w:t xml:space="preserve">Labelled receiving containers</w:t>
      </w:r>
    </w:p>
    <w:p>
      <w:pPr>
        <w:pStyle w:val="ListParagraph"/>
        <w:numPr>
          <w:ilvl w:val="0"/>
          <w:numId w:val="1"/>
        </w:numPr>
        <w:spacing w:after="60" w:line="245"/>
      </w:pPr>
      <w:r>
        <w:rPr>
          <w:rFonts w:ascii="Calibri" w:cs="Calibri" w:eastAsia="Calibri" w:hAnsi="Calibri"/>
          <w:sz w:val="17"/>
          <w:szCs w:val="17"/>
        </w:rPr>
        <w:t xml:space="preserve">Chemical register</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SWI-PRO-LAB-302-021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SWI-PRO-LAB-302-021.</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KBK-MIR-LAB-WET-SOP-025, -047, -055 and -107 chemical and acid transfer</w:t>
      </w:r>
    </w:p>
    <w:p>
      <w:pPr>
        <w:pStyle w:val="ListParagraph"/>
        <w:numPr>
          <w:ilvl w:val="0"/>
          <w:numId w:val="1"/>
        </w:numPr>
        <w:spacing w:after="60" w:line="245"/>
      </w:pPr>
      <w:r>
        <w:rPr>
          <w:rFonts w:ascii="Calibri" w:cs="Calibri" w:eastAsia="Calibri" w:hAnsi="Calibri"/>
          <w:sz w:val="17"/>
          <w:szCs w:val="17"/>
        </w:rPr>
        <w:t xml:space="preserve">Heritage register line JSEA-PRO-LAB-302-021,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JSEA-PRO-LAB-302-021</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JSEA-PRO-LAB-302-021  ·  Chemical Issue, Decanting and Acid Transfer from IBC or Drum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