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Glassware Washing and Drying - Wet Lab</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JSEA-PRO-LAB-302-025</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SWI-PRO-LAB-302-025  Glassware Washing and Drying - Wet 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HM-PRC-VXX-PRO213  Laboratory Wet Chemistry and Digestion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302  Wet 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JSEA-PRO-LAB-302-025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glassware washing and drying - wet lab in 302  Wet Lab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Wash and dry wet lab glassware.</w:t>
      </w:r>
    </w:p>
    <w:p>
      <w:pPr>
        <w:pStyle w:val="ListParagraph"/>
        <w:numPr>
          <w:ilvl w:val="0"/>
          <w:numId w:val="1"/>
        </w:numPr>
        <w:spacing w:after="60" w:line="245"/>
      </w:pPr>
      <w:r>
        <w:rPr>
          <w:rFonts w:ascii="Calibri" w:cs="Calibri" w:eastAsia="Calibri" w:hAnsi="Calibri"/>
          <w:sz w:val="17"/>
          <w:szCs w:val="17"/>
        </w:rPr>
        <w:t xml:space="preserve">A trace of gold or acid carried over on glassware contaminates the next result invisibly.</w:t>
      </w:r>
    </w:p>
    <w:p>
      <w:pPr>
        <w:spacing w:after="60" w:before="0" w:line="245"/>
      </w:pPr>
      <w:r>
        <w:rPr>
          <w:rFonts w:ascii="Calibri" w:cs="Calibri" w:eastAsia="Calibri" w:hAnsi="Calibri"/>
          <w:sz w:val="17"/>
          <w:szCs w:val="17"/>
        </w:rPr>
        <w:t xml:space="preserve">It is read with work instruction SWI-PRO-LAB-302-025, which gives the step-by-step method, and with HM-PRC-VXX-PRO213 Laboratory Wet Chemistry and Digestion,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Rinse immediately after use, before residues dry on.</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hot solution or hot surface at the elution, stripping or regeneration circuits</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Discard the first rinse to the correct waste stream - an acid or cyanide rinse is not general drain.</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Inhalation of acid fume or reagent vapour at the bench</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Wash with detergent and a brush, then rinse with tap water.</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hot solution or hot surface at the elution, stripping or regeneration circuits</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Acid wash where the method requires it, in the fume cupboard, then rinse thoroughly.</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30" w:line="235"/>
            </w:pPr>
            <w:r>
              <w:rPr>
                <w:rFonts w:ascii="Calibri" w:cs="Calibri" w:eastAsia="Calibri" w:hAnsi="Calibri"/>
                <w:sz w:val="15"/>
                <w:szCs w:val="15"/>
              </w:rPr>
              <w:t xml:space="preserve">Inhalation of acid fume or reagent vapour at the bench</w:t>
            </w:r>
          </w:p>
          <w:p>
            <w:pPr>
              <w:spacing w:after="0" w:line="235"/>
            </w:pPr>
            <w:r>
              <w:rPr>
                <w:rFonts w:ascii="Calibri" w:cs="Calibri" w:eastAsia="Calibri" w:hAnsi="Calibri"/>
                <w:sz w:val="15"/>
                <w:szCs w:val="15"/>
              </w:rPr>
              <w:t xml:space="preserve">Contact with hot solution or hot surface at the elution, stripping or regeneration circuits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3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pPr>
              <w:spacing w:after="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Give a final rinse with distilled or RO/DI water. Tap water leaves dissolved solids behind.</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Inspect for chips and cracks and discard damaged glassware into the sharps bin.</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Do NOT dry volumetric glassware in an oven - heat changes its calibrated volume.</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hot solution or hot surface at the elution, stripping or regeneration circuits</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Store clean glassware inverted or covered.</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After every use.</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Rinse immediately after use, before residues dry on.</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Discard the first rinse to the correct waste stream - an acid or cyanide rinse is not general drain.</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Wash with detergent and a brush, then rinse with tap water.</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Acid wash where the method requires it, in the fume cupboard, then rinse thoroughly.</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Give a final rinse with distilled or RO/DI water. Tap water leaves dissolved solids behind.</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Inspect for chips and cracks and discard damaged glassware into the sharps bin.</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Do NOT dry volumetric glassware in an oven - heat changes its calibrated volume.</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Store clean glassware inverted or covered.</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Wash sinks</w:t>
      </w:r>
    </w:p>
    <w:p>
      <w:pPr>
        <w:pStyle w:val="ListParagraph"/>
        <w:numPr>
          <w:ilvl w:val="0"/>
          <w:numId w:val="1"/>
        </w:numPr>
        <w:spacing w:after="60" w:line="245"/>
      </w:pPr>
      <w:r>
        <w:rPr>
          <w:rFonts w:ascii="Calibri" w:cs="Calibri" w:eastAsia="Calibri" w:hAnsi="Calibri"/>
          <w:sz w:val="17"/>
          <w:szCs w:val="17"/>
        </w:rPr>
        <w:t xml:space="preserve">Detergent and brushes</w:t>
      </w:r>
    </w:p>
    <w:p>
      <w:pPr>
        <w:pStyle w:val="ListParagraph"/>
        <w:numPr>
          <w:ilvl w:val="0"/>
          <w:numId w:val="1"/>
        </w:numPr>
        <w:spacing w:after="60" w:line="245"/>
      </w:pPr>
      <w:r>
        <w:rPr>
          <w:rFonts w:ascii="Calibri" w:cs="Calibri" w:eastAsia="Calibri" w:hAnsi="Calibri"/>
          <w:sz w:val="17"/>
          <w:szCs w:val="17"/>
        </w:rPr>
        <w:t xml:space="preserve">Acid wash bath</w:t>
      </w:r>
    </w:p>
    <w:p>
      <w:pPr>
        <w:pStyle w:val="ListParagraph"/>
        <w:numPr>
          <w:ilvl w:val="0"/>
          <w:numId w:val="1"/>
        </w:numPr>
        <w:spacing w:after="60" w:line="245"/>
      </w:pPr>
      <w:r>
        <w:rPr>
          <w:rFonts w:ascii="Calibri" w:cs="Calibri" w:eastAsia="Calibri" w:hAnsi="Calibri"/>
          <w:sz w:val="17"/>
          <w:szCs w:val="17"/>
        </w:rPr>
        <w:t xml:space="preserve">Distilled or RO/DI water</w:t>
      </w:r>
    </w:p>
    <w:p>
      <w:pPr>
        <w:pStyle w:val="ListParagraph"/>
        <w:numPr>
          <w:ilvl w:val="0"/>
          <w:numId w:val="1"/>
        </w:numPr>
        <w:spacing w:after="60" w:line="245"/>
      </w:pPr>
      <w:r>
        <w:rPr>
          <w:rFonts w:ascii="Calibri" w:cs="Calibri" w:eastAsia="Calibri" w:hAnsi="Calibri"/>
          <w:sz w:val="17"/>
          <w:szCs w:val="17"/>
        </w:rPr>
        <w:t xml:space="preserve">Drying oven and racks</w:t>
      </w:r>
    </w:p>
    <w:p>
      <w:pPr>
        <w:pStyle w:val="ListParagraph"/>
        <w:numPr>
          <w:ilvl w:val="0"/>
          <w:numId w:val="1"/>
        </w:numPr>
        <w:spacing w:after="60" w:line="245"/>
      </w:pPr>
      <w:r>
        <w:rPr>
          <w:rFonts w:ascii="Calibri" w:cs="Calibri" w:eastAsia="Calibri" w:hAnsi="Calibri"/>
          <w:sz w:val="17"/>
          <w:szCs w:val="17"/>
        </w:rPr>
        <w:t xml:space="preserve">Fume cupboard</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SWI-PRO-LAB-302-025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SWI-PRO-LAB-302-025.</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KBK-MIR-LAB-WET-SOP-049 drying and ENV-SOP-060 washing</w:t>
      </w:r>
    </w:p>
    <w:p>
      <w:pPr>
        <w:pStyle w:val="ListParagraph"/>
        <w:numPr>
          <w:ilvl w:val="0"/>
          <w:numId w:val="1"/>
        </w:numPr>
        <w:spacing w:after="60" w:line="245"/>
      </w:pPr>
      <w:r>
        <w:rPr>
          <w:rFonts w:ascii="Calibri" w:cs="Calibri" w:eastAsia="Calibri" w:hAnsi="Calibri"/>
          <w:sz w:val="17"/>
          <w:szCs w:val="17"/>
        </w:rPr>
        <w:t xml:space="preserve">Heritage register line JSEA-PRO-LAB-302-025,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JSEA-PRO-LAB-302-025</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JSEA-PRO-LAB-302-025  ·  Glassware Washing and Drying - Wet Lab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