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Acid Spill Response and Neutralisation - Wet Lab</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SWI-PRO-LAB-302-027  Acid Spill Response and Neutralisation -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acid spill response and neutralisation - wet lab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an acid spill in the wet lab and neutralise it.</w:t>
      </w:r>
    </w:p>
    <w:p>
      <w:pPr>
        <w:spacing w:after="60" w:before="0" w:line="245"/>
      </w:pPr>
      <w:r>
        <w:rPr>
          <w:rFonts w:ascii="Calibri" w:cs="Calibri" w:eastAsia="Calibri" w:hAnsi="Calibri"/>
          <w:sz w:val="17"/>
          <w:szCs w:val="17"/>
        </w:rPr>
        <w:t xml:space="preserve">It is read with work instruction SWI-PRO-LAB-302-027,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Raise the alarm and clear anyone not needed for the response.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Where the spill is near cyanide-bearing material or waste, treat it as a potential HCN release - evacuate, close the door and do not attempt an unprotected clean-up.</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Contain the spill before neutralising. Never flush acid to drain untreated.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Apply neutraliser from the outside of the spill inwards, slowly. Fast addition to concentrated acid generates heat and spatter.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neutralisation with pH paper before absorbing.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Absorb, bag and label for chemical waste disposal.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On skin or eye contact, flood at the shower or eyewash for at least 15 minutes. For hydrofluoric acid, apply calcium gluconate gel and treat as a medical emergency regardless of how the skin looks.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and record every spill, however small.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acid spill;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Raise the alarm and clear anyone not needed for the response.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Where the spill is near cyanide-bearing material or waste, treat it as a potential HCN release - evacuate, close the door and do not attempt an unprotected clean-up.</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Contain the spill before neutralising. Never flush acid to drain untreated.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Apply neutraliser from the outside of the spill inwards, slowly. Fast addition to concentrated acid generates heat and spatter.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neutralisation with pH paper before absorbing.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Absorb, bag and label for chemical waste disposal.</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skin or eye contact, flood at the shower or eyewash for at least 15 minutes. For hydrofluoric acid, apply calcium gluconate gel and treat as a medical emergency regardless of how the skin looks.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and record every spill, however small.</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Hazchem spill kit</w:t>
      </w:r>
    </w:p>
    <w:p>
      <w:pPr>
        <w:pStyle w:val="ListParagraph"/>
        <w:numPr>
          <w:ilvl w:val="0"/>
          <w:numId w:val="1"/>
        </w:numPr>
        <w:spacing w:after="60" w:line="245"/>
      </w:pPr>
      <w:r>
        <w:rPr>
          <w:rFonts w:ascii="Calibri" w:cs="Calibri" w:eastAsia="Calibri" w:hAnsi="Calibri"/>
          <w:sz w:val="17"/>
          <w:szCs w:val="17"/>
        </w:rPr>
        <w:t xml:space="preserve">Acid neutraliser or soda ash</w:t>
      </w:r>
    </w:p>
    <w:p>
      <w:pPr>
        <w:pStyle w:val="ListParagraph"/>
        <w:numPr>
          <w:ilvl w:val="0"/>
          <w:numId w:val="1"/>
        </w:numPr>
        <w:spacing w:after="60" w:line="245"/>
      </w:pPr>
      <w:r>
        <w:rPr>
          <w:rFonts w:ascii="Calibri" w:cs="Calibri" w:eastAsia="Calibri" w:hAnsi="Calibri"/>
          <w:sz w:val="17"/>
          <w:szCs w:val="17"/>
        </w:rPr>
        <w:t xml:space="preserve">pH paper</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Waste containers</w:t>
      </w:r>
    </w:p>
    <w:p>
      <w:pPr>
        <w:pStyle w:val="ListParagraph"/>
        <w:numPr>
          <w:ilvl w:val="0"/>
          <w:numId w:val="1"/>
        </w:numPr>
        <w:spacing w:after="60" w:line="245"/>
      </w:pPr>
      <w:r>
        <w:rPr>
          <w:rFonts w:ascii="Calibri" w:cs="Calibri" w:eastAsia="Calibri" w:hAnsi="Calibri"/>
          <w:sz w:val="17"/>
          <w:szCs w:val="17"/>
        </w:rPr>
        <w:t xml:space="preserve">Safety shower and eyewash</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KBK-MIR-LAB-WET-SOP-051 Penanganan Tumpahan Asam</w:t>
      </w:r>
    </w:p>
    <w:p>
      <w:pPr>
        <w:pStyle w:val="ListParagraph"/>
        <w:numPr>
          <w:ilvl w:val="0"/>
          <w:numId w:val="1"/>
        </w:numPr>
        <w:spacing w:after="60" w:line="245"/>
      </w:pPr>
      <w:r>
        <w:rPr>
          <w:rFonts w:ascii="Calibri" w:cs="Calibri" w:eastAsia="Calibri" w:hAnsi="Calibri"/>
          <w:sz w:val="17"/>
          <w:szCs w:val="17"/>
        </w:rPr>
        <w:t xml:space="preserve">Heritage register line JSEA-PRO-LAB-302-027,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JSEA-PRO-LAB-302-027  ·  Acid Spill Response and Neutralisation - Wet Lab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