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Laboratory Sludge Transfer to IBC and Disposal</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JSEA-PRO-LAB-302-029</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SWI-PRO-LAB-302-029  Laboratory Sludge Transfer to IBC and Disposal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JSEA-PRO-LAB-302-029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laboratory sludge transfer to ibc and disposal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Transfer laboratory sludge to the IBC and arrange disposal.</w:t>
      </w:r>
    </w:p>
    <w:p>
      <w:pPr>
        <w:spacing w:after="60" w:before="0" w:line="245"/>
      </w:pPr>
      <w:r>
        <w:rPr>
          <w:rFonts w:ascii="Calibri" w:cs="Calibri" w:eastAsia="Calibri" w:hAnsi="Calibri"/>
          <w:sz w:val="17"/>
          <w:szCs w:val="17"/>
        </w:rPr>
        <w:t xml:space="preserve">It is read with work instruction SWI-PRO-LAB-302-029,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what is in the sludge before moving it. A sludge containing both acid and cyanide residues is an HCN risk when disturbed.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Neutralise and confirm with pH paper before transfer where the method requires it.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Wear full chemical PPE for the transfer.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Transfer with the pump or trolley - never carry an open container of sludge.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Do not overfill the IBC. Leave the freeboard the transport requires.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Label the IBC with contents, hazard and accumulation start date.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the transfer in the waste register.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Arrange removal at the set interval and file the disposal documentation.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At the set interval and whenever the sump reaches its trigger level.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what is in the sludge before moving it. A sludge containing both acid and cyanide residues is an HCN risk when disturbed.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Neutralise and confirm with pH paper before transfer where the method requires it.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Wear full chemical PPE for the transfer.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Transfer with the pump or trolley - never carry an open container of sludge.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Do not overfill the IBC. Leave the freeboard the transport requires.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Label the IBC with contents, hazard and accumulation start date.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the transfer in the waste register.</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Arrange removal at the set interval and file the disposal documentation.</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IBC tank</w:t>
      </w:r>
    </w:p>
    <w:p>
      <w:pPr>
        <w:pStyle w:val="ListParagraph"/>
        <w:numPr>
          <w:ilvl w:val="0"/>
          <w:numId w:val="1"/>
        </w:numPr>
        <w:spacing w:after="60" w:line="245"/>
      </w:pPr>
      <w:r>
        <w:rPr>
          <w:rFonts w:ascii="Calibri" w:cs="Calibri" w:eastAsia="Calibri" w:hAnsi="Calibri"/>
          <w:sz w:val="17"/>
          <w:szCs w:val="17"/>
        </w:rPr>
        <w:t xml:space="preserve">Transfer pump or drum trolley</w:t>
      </w:r>
    </w:p>
    <w:p>
      <w:pPr>
        <w:pStyle w:val="ListParagraph"/>
        <w:numPr>
          <w:ilvl w:val="0"/>
          <w:numId w:val="1"/>
        </w:numPr>
        <w:spacing w:after="60" w:line="245"/>
      </w:pPr>
      <w:r>
        <w:rPr>
          <w:rFonts w:ascii="Calibri" w:cs="Calibri" w:eastAsia="Calibri" w:hAnsi="Calibri"/>
          <w:sz w:val="17"/>
          <w:szCs w:val="17"/>
        </w:rPr>
        <w:t xml:space="preserve">Acid PPE</w:t>
      </w:r>
    </w:p>
    <w:p>
      <w:pPr>
        <w:pStyle w:val="ListParagraph"/>
        <w:numPr>
          <w:ilvl w:val="0"/>
          <w:numId w:val="1"/>
        </w:numPr>
        <w:spacing w:after="60" w:line="245"/>
      </w:pPr>
      <w:r>
        <w:rPr>
          <w:rFonts w:ascii="Calibri" w:cs="Calibri" w:eastAsia="Calibri" w:hAnsi="Calibri"/>
          <w:sz w:val="17"/>
          <w:szCs w:val="17"/>
        </w:rPr>
        <w:t xml:space="preserve">pH paper</w:t>
      </w:r>
    </w:p>
    <w:p>
      <w:pPr>
        <w:pStyle w:val="ListParagraph"/>
        <w:numPr>
          <w:ilvl w:val="0"/>
          <w:numId w:val="1"/>
        </w:numPr>
        <w:spacing w:after="60" w:line="245"/>
      </w:pPr>
      <w:r>
        <w:rPr>
          <w:rFonts w:ascii="Calibri" w:cs="Calibri" w:eastAsia="Calibri" w:hAnsi="Calibri"/>
          <w:sz w:val="17"/>
          <w:szCs w:val="17"/>
        </w:rPr>
        <w:t xml:space="preserve">Waste register</w:t>
      </w:r>
    </w:p>
    <w:p>
      <w:pPr>
        <w:pStyle w:val="ListParagraph"/>
        <w:numPr>
          <w:ilvl w:val="0"/>
          <w:numId w:val="1"/>
        </w:numPr>
        <w:spacing w:after="60" w:line="245"/>
      </w:pPr>
      <w:r>
        <w:rPr>
          <w:rFonts w:ascii="Calibri" w:cs="Calibri" w:eastAsia="Calibri" w:hAnsi="Calibri"/>
          <w:sz w:val="17"/>
          <w:szCs w:val="17"/>
        </w:rPr>
        <w:t xml:space="preserve">Spill kit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SWI-PRO-LAB-302-029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SWI-PRO-LAB-302-029.</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KBK-MIR-LAB-ENV-SOP-058 Pemindahan lumpur ke IBC tank</w:t>
      </w:r>
    </w:p>
    <w:p>
      <w:pPr>
        <w:pStyle w:val="ListParagraph"/>
        <w:numPr>
          <w:ilvl w:val="0"/>
          <w:numId w:val="1"/>
        </w:numPr>
        <w:spacing w:after="60" w:line="245"/>
      </w:pPr>
      <w:r>
        <w:rPr>
          <w:rFonts w:ascii="Calibri" w:cs="Calibri" w:eastAsia="Calibri" w:hAnsi="Calibri"/>
          <w:sz w:val="17"/>
          <w:szCs w:val="17"/>
        </w:rPr>
        <w:t xml:space="preserve">Heritage register line JSEA-PRO-LAB-302-029,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JSEA-PRO-LAB-302-029</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JSEA-PRO-LAB-302-029  ·  Laboratory Sludge Transfer to IBC and Disposal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