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Neutralisation of Empty Reagent Containers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SWI-PRO-LAB-302-030  Neutralisation of Empty Reagent Containers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JSEA-PRO-LAB-302-030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neutralisation of empty reagent containers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Neutralise empty reagent containers before disposal.</w:t>
      </w:r>
    </w:p>
    <w:p>
      <w:pPr>
        <w:pStyle w:val="ListParagraph"/>
        <w:numPr>
          <w:ilvl w:val="0"/>
          <w:numId w:val="1"/>
        </w:numPr>
        <w:spacing w:after="60" w:line="245"/>
      </w:pPr>
      <w:r>
        <w:rPr>
          <w:rFonts w:ascii="Calibri" w:cs="Calibri" w:eastAsia="Calibri" w:hAnsi="Calibri"/>
          <w:sz w:val="17"/>
          <w:szCs w:val="17"/>
        </w:rPr>
        <w:t xml:space="preserve">An 'empty' acid drum is not empty. Residual acid meeting something incompatible in a skip is a real incident.</w:t>
      </w:r>
    </w:p>
    <w:p>
      <w:pPr>
        <w:spacing w:after="60" w:before="0" w:line="245"/>
      </w:pPr>
      <w:r>
        <w:rPr>
          <w:rFonts w:ascii="Calibri" w:cs="Calibri" w:eastAsia="Calibri" w:hAnsi="Calibri"/>
          <w:sz w:val="17"/>
          <w:szCs w:val="17"/>
        </w:rPr>
        <w:t xml:space="preserve">It is read with work instruction SWI-PRO-LAB-302-030,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what the container held before opening it. Never assume from the label alone if it has been re-used.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Rinse the container with water into the neutralisation vessel, not to drain.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Neutralise the rinsate and confirm with pH paper.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Repeat the rinse until the rinsate is neutral.</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Deface or remove the original label so the container cannot be mistaken for full.</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Dispose of the container to the route its material requires.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in the waste register.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empty container.</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what the container held before opening it. Never assume from the label alone if it has been re-used.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Rinse the container with water into the neutralisation vessel, not to drain.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Neutralise the rinsate and confirm with pH paper.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Repeat the rinse until the rinsate is neutral.</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Deface or remove the original label so the container cannot be mistaken for full.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Dispose of the container to the route its material requires.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in the waste register.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Neutralising agent</w:t>
      </w:r>
    </w:p>
    <w:p>
      <w:pPr>
        <w:pStyle w:val="ListParagraph"/>
        <w:numPr>
          <w:ilvl w:val="0"/>
          <w:numId w:val="1"/>
        </w:numPr>
        <w:spacing w:after="60" w:line="245"/>
      </w:pPr>
      <w:r>
        <w:rPr>
          <w:rFonts w:ascii="Calibri" w:cs="Calibri" w:eastAsia="Calibri" w:hAnsi="Calibri"/>
          <w:sz w:val="17"/>
          <w:szCs w:val="17"/>
        </w:rPr>
        <w:t xml:space="preserve">pH paper</w:t>
      </w:r>
    </w:p>
    <w:p>
      <w:pPr>
        <w:pStyle w:val="ListParagraph"/>
        <w:numPr>
          <w:ilvl w:val="0"/>
          <w:numId w:val="1"/>
        </w:numPr>
        <w:spacing w:after="60" w:line="245"/>
      </w:pPr>
      <w:r>
        <w:rPr>
          <w:rFonts w:ascii="Calibri" w:cs="Calibri" w:eastAsia="Calibri" w:hAnsi="Calibri"/>
          <w:sz w:val="17"/>
          <w:szCs w:val="17"/>
        </w:rPr>
        <w:t xml:space="preserve">Wash facility</w:t>
      </w:r>
    </w:p>
    <w:p>
      <w:pPr>
        <w:pStyle w:val="ListParagraph"/>
        <w:numPr>
          <w:ilvl w:val="0"/>
          <w:numId w:val="1"/>
        </w:numPr>
        <w:spacing w:after="60" w:line="245"/>
      </w:pPr>
      <w:r>
        <w:rPr>
          <w:rFonts w:ascii="Calibri" w:cs="Calibri" w:eastAsia="Calibri" w:hAnsi="Calibri"/>
          <w:sz w:val="17"/>
          <w:szCs w:val="17"/>
        </w:rPr>
        <w:t xml:space="preserve">Acid PPE</w:t>
      </w:r>
    </w:p>
    <w:p>
      <w:pPr>
        <w:pStyle w:val="ListParagraph"/>
        <w:numPr>
          <w:ilvl w:val="0"/>
          <w:numId w:val="1"/>
        </w:numPr>
        <w:spacing w:after="60" w:line="245"/>
      </w:pPr>
      <w:r>
        <w:rPr>
          <w:rFonts w:ascii="Calibri" w:cs="Calibri" w:eastAsia="Calibri" w:hAnsi="Calibri"/>
          <w:sz w:val="17"/>
          <w:szCs w:val="17"/>
        </w:rPr>
        <w:t xml:space="preserve">Waste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SWI-PRO-LAB-302-030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SWI-PRO-LAB-302-030.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KBK-MIR-LAB-ENV-SOP-106 Netralisasi wadah bekas reagen</w:t>
      </w:r>
    </w:p>
    <w:p>
      <w:pPr>
        <w:pStyle w:val="ListParagraph"/>
        <w:numPr>
          <w:ilvl w:val="0"/>
          <w:numId w:val="1"/>
        </w:numPr>
        <w:spacing w:after="60" w:line="245"/>
      </w:pPr>
      <w:r>
        <w:rPr>
          <w:rFonts w:ascii="Calibri" w:cs="Calibri" w:eastAsia="Calibri" w:hAnsi="Calibri"/>
          <w:sz w:val="17"/>
          <w:szCs w:val="17"/>
        </w:rPr>
        <w:t xml:space="preserve">Heritage register line JSEA-PRO-LAB-302-030,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JSEA-PRO-LAB-302-030  ·  Neutralisation of Empty Reagent Containers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