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Perchloric Acid Digest and Fume Cupboard Washdown Routine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SWI-PRO-LAB-302-032  Perchloric Acid Digest and Fume Cupboard Washdown Routine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perchloric acid digest and fume cupboard washdown routine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Carry out a perchloric acid digest and the mandatory fume cupboard washdown.</w:t>
      </w:r>
    </w:p>
    <w:p>
      <w:pPr>
        <w:pStyle w:val="ListParagraph"/>
        <w:numPr>
          <w:ilvl w:val="0"/>
          <w:numId w:val="1"/>
        </w:numPr>
        <w:spacing w:after="60" w:line="245"/>
      </w:pPr>
      <w:r>
        <w:rPr>
          <w:rFonts w:ascii="Calibri" w:cs="Calibri" w:eastAsia="Calibri" w:hAnsi="Calibri"/>
          <w:sz w:val="17"/>
          <w:szCs w:val="17"/>
        </w:rPr>
        <w:t xml:space="preserve">Perchloric acid fume condenses in ductwork as metal perchlorates, which are shock-sensitive explosives. The washdown is not housekeeping - it is what prevents an explosion.</w:t>
      </w:r>
    </w:p>
    <w:p>
      <w:pPr>
        <w:spacing w:after="60" w:before="0" w:line="245"/>
      </w:pPr>
      <w:r>
        <w:rPr>
          <w:rFonts w:ascii="Calibri" w:cs="Calibri" w:eastAsia="Calibri" w:hAnsi="Calibri"/>
          <w:sz w:val="17"/>
          <w:szCs w:val="17"/>
        </w:rPr>
        <w:t xml:space="preserve">It is read with work instruction SWI-PRO-LAB-302-032,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Use ONLY the fume cupboard rated and plumbed for perchloric acid. Never use a general cupboard, and never use one where organic solvent work has been done.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washdown system is functional before starting. If it is not, do not start.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Never mix perchloric acid with organic material. Perchloric acid and organics together is an explosion, not a reaction.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Where the sample contains organic matter, destroy it with nitric acid first and confirm destruction before adding perchloric.</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Take to fumes as the method directs but NEVER to dryness. A perchloric digest taken to dryness is the classic explosion.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Keep the digest under observation for the whole fuming stage.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the fume cupboard washdown immediately after the digest, for the full stated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digest and the washdown in the log. An unrecorded washdown is treated as not done.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perchloric digest.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Use ONLY the fume cupboard rated and plumbed for perchloric acid. Never use a general cupboard, and never use one where organic solvent work has been done.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washdown system is functional before starting. If it is not, do not start.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Never mix perchloric acid with organic material. Perchloric acid and organics together is an explosion, not a reaction.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Where the sample contains organic matter, destroy it with nitric acid first and confirm destruction before adding perchloric.</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Take to fumes as the method directs but NEVER to dryness. A perchloric digest taken to dryness is the classic explosion.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Keep the digest under observation for the whole fuming stage.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the fume cupboard washdown immediately after the digest, for the full stated period.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digest and the washdown in the log. An unrecorded washdown is treated as not done.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 rated and plumbed for perchloric acid</w:t>
      </w:r>
    </w:p>
    <w:p>
      <w:pPr>
        <w:pStyle w:val="ListParagraph"/>
        <w:numPr>
          <w:ilvl w:val="0"/>
          <w:numId w:val="1"/>
        </w:numPr>
        <w:spacing w:after="60" w:line="245"/>
      </w:pPr>
      <w:r>
        <w:rPr>
          <w:rFonts w:ascii="Calibri" w:cs="Calibri" w:eastAsia="Calibri" w:hAnsi="Calibri"/>
          <w:sz w:val="17"/>
          <w:szCs w:val="17"/>
        </w:rPr>
        <w:t xml:space="preserve">Washdown system</w:t>
      </w:r>
    </w:p>
    <w:p>
      <w:pPr>
        <w:pStyle w:val="ListParagraph"/>
        <w:numPr>
          <w:ilvl w:val="0"/>
          <w:numId w:val="1"/>
        </w:numPr>
        <w:spacing w:after="60" w:line="245"/>
      </w:pPr>
      <w:r>
        <w:rPr>
          <w:rFonts w:ascii="Calibri" w:cs="Calibri" w:eastAsia="Calibri" w:hAnsi="Calibri"/>
          <w:sz w:val="17"/>
          <w:szCs w:val="17"/>
        </w:rPr>
        <w:t xml:space="preserve">Hotplate</w:t>
      </w:r>
    </w:p>
    <w:p>
      <w:pPr>
        <w:pStyle w:val="ListParagraph"/>
        <w:numPr>
          <w:ilvl w:val="0"/>
          <w:numId w:val="1"/>
        </w:numPr>
        <w:spacing w:after="60" w:line="245"/>
      </w:pPr>
      <w:r>
        <w:rPr>
          <w:rFonts w:ascii="Calibri" w:cs="Calibri" w:eastAsia="Calibri" w:hAnsi="Calibri"/>
          <w:sz w:val="17"/>
          <w:szCs w:val="17"/>
        </w:rPr>
        <w:t xml:space="preserve">Acid PPE and face shield</w:t>
      </w:r>
    </w:p>
    <w:p>
      <w:pPr>
        <w:pStyle w:val="ListParagraph"/>
        <w:numPr>
          <w:ilvl w:val="0"/>
          <w:numId w:val="1"/>
        </w:numPr>
        <w:spacing w:after="60" w:line="245"/>
      </w:pPr>
      <w:r>
        <w:rPr>
          <w:rFonts w:ascii="Calibri" w:cs="Calibri" w:eastAsia="Calibri" w:hAnsi="Calibri"/>
          <w:sz w:val="17"/>
          <w:szCs w:val="17"/>
        </w:rPr>
        <w:t xml:space="preserve">pH paper</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SWI-PRO-LAB-302-032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SWI-PRO-LAB-302-032.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Perchloric washdown is mandatory to prevent explosive perchlorate build-up in ductwork. No procedure held and no washdown provision itemised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JSEA-PRO-LAB-302-032,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JSEA-PRO-LAB-302-032  ·  Perchloric Acid Digest and Fume Cupboard Washdown Routine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