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AAS Start-Up, Flame Ignition and Shutdown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SWI-PRO-LAB-303-001  AAS Start-Up, Flame Ignition and Shutdown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HM-PRC-VXX-PRO214  Laboratory Instrumental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303  AAS and Instruments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JSEA-PRO-LAB-303-001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aas start-up, flame ignition and shutdown in 303  AAS and Instruments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Start up, ignite and shut down the atomic absorption spectrometer safely.</w:t>
      </w:r>
    </w:p>
    <w:p>
      <w:pPr>
        <w:pStyle w:val="ListParagraph"/>
        <w:numPr>
          <w:ilvl w:val="0"/>
          <w:numId w:val="1"/>
        </w:numPr>
        <w:spacing w:after="60" w:line="245"/>
      </w:pPr>
      <w:r>
        <w:rPr>
          <w:rFonts w:ascii="Calibri" w:cs="Calibri" w:eastAsia="Calibri" w:hAnsi="Calibri"/>
          <w:sz w:val="17"/>
          <w:szCs w:val="17"/>
        </w:rPr>
        <w:t xml:space="preserve">The AAS runs on acetylene. Ignition and shutdown are the two points where a flame incident happens.</w:t>
      </w:r>
    </w:p>
    <w:p>
      <w:pPr>
        <w:spacing w:after="60" w:before="0" w:line="245"/>
      </w:pPr>
      <w:r>
        <w:rPr>
          <w:rFonts w:ascii="Calibri" w:cs="Calibri" w:eastAsia="Calibri" w:hAnsi="Calibri"/>
          <w:sz w:val="17"/>
          <w:szCs w:val="17"/>
        </w:rPr>
        <w:t xml:space="preserve">It is read with work instruction SWI-PRO-LAB-303-001, which gives the step-by-step method, and with HM-PRC-VXX-PRO214 Laboratory Instrumental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extraction blower over the burner is running BEFORE anything else. No extraction, no flame.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Confirm the acetylene and air supply pressures are at the values the manual states, and that the flashback arrestors are fitted and in date.</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Contact with hot solution or hot surface at the elution, stripping or regeneration circuits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Check the burner slot is clean and the drain trap is filled with liquid to the mark. A dry drain trap lets flame back into the spray chamber.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Ignite in the order the PerkinElmer manual sets - air first, then acetylene. Never acetylene first.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Confirm a stable blue flame. An unstable or yellow flame means a blocked nebuliser or wrong gas ratio - shut down and fix it rather than adjusting around it.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Aspirate blank between samples so the nebuliser does not dry out.</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Contact with hot solution or hot surface at the elution, stripping or regeneration circuits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circuit is not on a heating cycle before sampling. Heat-resistant gloves and face shield. Allow the sample line to flush and cool before collecting. Do not sample a column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To shut down, aspirate water to clear the system, then extinguish in the reverse order - acetylene off first, then air.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10  HIGH</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Close the cylinder valves at the end of the session and record the run in the log.</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Release from a pressurised sample line, hose or fitting</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12  HIGH</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analytical session.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extraction blower over the burner is running BEFORE anything else. No extraction, no flame.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acetylene and air supply pressures are at the values the manual states, and that the flashback arrestors are fitted and in date.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Check the burner slot is clean and the drain trap is filled with liquid to the mark. A dry drain trap lets flame back into the spray chamber.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Ignite in the order the PerkinElmer manual sets - air first, then acetylene. Never acetylene first.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Confirm a stable blue flame. An unstable or yellow flame means a blocked nebuliser or wrong gas ratio - shut down and fix it rather than adjusting around it.</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Aspirate blank between samples so the nebuliser does not dry out.</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To shut down, aspirate water to clear the system, then extinguish in the reverse order - acetylene off first, then air.</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Close the cylinder valves at the end of the session and record the run in the log.</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2 x PerkinElmer PinAAcle 500 with Syngistix</w:t>
      </w:r>
    </w:p>
    <w:p>
      <w:pPr>
        <w:pStyle w:val="ListParagraph"/>
        <w:numPr>
          <w:ilvl w:val="0"/>
          <w:numId w:val="1"/>
        </w:numPr>
        <w:spacing w:after="60" w:line="245"/>
      </w:pPr>
      <w:r>
        <w:rPr>
          <w:rFonts w:ascii="Calibri" w:cs="Calibri" w:eastAsia="Calibri" w:hAnsi="Calibri"/>
          <w:sz w:val="17"/>
          <w:szCs w:val="17"/>
        </w:rPr>
        <w:t xml:space="preserve">Acetylene and air supply</w:t>
      </w:r>
    </w:p>
    <w:p>
      <w:pPr>
        <w:pStyle w:val="ListParagraph"/>
        <w:numPr>
          <w:ilvl w:val="0"/>
          <w:numId w:val="1"/>
        </w:numPr>
        <w:spacing w:after="60" w:line="245"/>
      </w:pPr>
      <w:r>
        <w:rPr>
          <w:rFonts w:ascii="Calibri" w:cs="Calibri" w:eastAsia="Calibri" w:hAnsi="Calibri"/>
          <w:sz w:val="17"/>
          <w:szCs w:val="17"/>
        </w:rPr>
        <w:t xml:space="preserve">Extraction blower and vent</w:t>
      </w:r>
    </w:p>
    <w:p>
      <w:pPr>
        <w:pStyle w:val="ListParagraph"/>
        <w:numPr>
          <w:ilvl w:val="0"/>
          <w:numId w:val="1"/>
        </w:numPr>
        <w:spacing w:after="60" w:line="245"/>
      </w:pPr>
      <w:r>
        <w:rPr>
          <w:rFonts w:ascii="Calibri" w:cs="Calibri" w:eastAsia="Calibri" w:hAnsi="Calibri"/>
          <w:sz w:val="17"/>
          <w:szCs w:val="17"/>
        </w:rPr>
        <w:t xml:space="preserve">Riello UPS 2200VA</w:t>
      </w:r>
    </w:p>
    <w:p>
      <w:pPr>
        <w:pStyle w:val="ListParagraph"/>
        <w:numPr>
          <w:ilvl w:val="0"/>
          <w:numId w:val="1"/>
        </w:numPr>
        <w:spacing w:after="60" w:line="245"/>
      </w:pPr>
      <w:r>
        <w:rPr>
          <w:rFonts w:ascii="Calibri" w:cs="Calibri" w:eastAsia="Calibri" w:hAnsi="Calibri"/>
          <w:sz w:val="17"/>
          <w:szCs w:val="17"/>
        </w:rPr>
        <w:t xml:space="preserve">Flashback arrestors</w:t>
      </w:r>
    </w:p>
    <w:p>
      <w:pPr>
        <w:pStyle w:val="ListParagraph"/>
        <w:numPr>
          <w:ilvl w:val="0"/>
          <w:numId w:val="1"/>
        </w:numPr>
        <w:spacing w:after="60" w:line="245"/>
      </w:pPr>
      <w:r>
        <w:rPr>
          <w:rFonts w:ascii="Calibri" w:cs="Calibri" w:eastAsia="Calibri" w:hAnsi="Calibri"/>
          <w:sz w:val="17"/>
          <w:szCs w:val="17"/>
        </w:rPr>
        <w:t xml:space="preserve">Log sheet</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SWI-PRO-LAB-303-001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SWI-PRO-LAB-303-001.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ILS quote Q0023979: 2 x PerkinElmer PinAAcle 500 Syngistix. KBK SOPs are written for GBC instruments and will need rewriting, not adapting</w:t>
      </w:r>
    </w:p>
    <w:p>
      <w:pPr>
        <w:pStyle w:val="ListParagraph"/>
        <w:numPr>
          <w:ilvl w:val="0"/>
          <w:numId w:val="1"/>
        </w:numPr>
        <w:spacing w:after="60" w:line="245"/>
      </w:pPr>
      <w:r>
        <w:rPr>
          <w:rFonts w:ascii="Calibri" w:cs="Calibri" w:eastAsia="Calibri" w:hAnsi="Calibri"/>
          <w:sz w:val="17"/>
          <w:szCs w:val="17"/>
        </w:rPr>
        <w:t xml:space="preserve">Heritage register line JSEA-PRO-LAB-303-001,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JSEA-PRO-LAB-303-001  ·  AAS Start-Up, Flame Ignition and Shutdown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