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AAS Sample Reading - Gold and Silver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SWI-PRO-LAB-303-002  AAS Sample Reading - Gold and Silver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aas sample reading - gold and silver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Read gold and silver on the AAS.</w:t>
      </w:r>
    </w:p>
    <w:p>
      <w:pPr>
        <w:spacing w:after="60" w:before="0" w:line="245"/>
      </w:pPr>
      <w:r>
        <w:rPr>
          <w:rFonts w:ascii="Calibri" w:cs="Calibri" w:eastAsia="Calibri" w:hAnsi="Calibri"/>
          <w:sz w:val="17"/>
          <w:szCs w:val="17"/>
        </w:rPr>
        <w:t xml:space="preserve">It is read with work instruction SWI-PRO-LAB-303-002,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Fit the correct lamp for the element and allow it the warm-up period the manual states. A cold lamp drifts.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Set the wavelength, slit and lamp current to the PerkinElmer method values, not to values carried over from a GBC method.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Calibrate across the standard range before reading any sample, and confirm the correlation meets the acceptance criterion.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Read the quality control samples at the positions the batch sheet specifies.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Read samples in batch order, aspirating blank between each.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Re-read a drift check standard at the interval the method sets. Where drift exceeds tolerance, recalibrate and re-read everything back to the last good check.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Dilute and re-read any sample above the top standard. Never extrapolate above the calibration.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dilution factor with every result.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gold or silver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Fit the correct lamp for the element and allow it the warm-up period the manual states. A cold lamp drifts.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Set the wavelength, slit and lamp current to the PerkinElmer method values, not to values carried over from a GBC method.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Calibrate across the standard range before reading any sample, and confirm the correlation meets the acceptance criterion.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Read the quality control samples at the positions the batch sheet specifies.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Read samples in batch order, aspirating blank between each.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Re-read a drift check standard at the interval the method sets. Where drift exceeds tolerance, recalibrate and re-read everything back to the last good check.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Dilute and re-read any sample above the top standard. Never extrapolate above the calibration.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dilution factor with every result.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PinAAcle 500 with Syngistix</w:t>
      </w:r>
    </w:p>
    <w:p>
      <w:pPr>
        <w:pStyle w:val="ListParagraph"/>
        <w:numPr>
          <w:ilvl w:val="0"/>
          <w:numId w:val="1"/>
        </w:numPr>
        <w:spacing w:after="60" w:line="245"/>
      </w:pPr>
      <w:r>
        <w:rPr>
          <w:rFonts w:ascii="Calibri" w:cs="Calibri" w:eastAsia="Calibri" w:hAnsi="Calibri"/>
          <w:sz w:val="17"/>
          <w:szCs w:val="17"/>
        </w:rPr>
        <w:t xml:space="preserve">Air-acetylene burner</w:t>
      </w:r>
    </w:p>
    <w:p>
      <w:pPr>
        <w:pStyle w:val="ListParagraph"/>
        <w:numPr>
          <w:ilvl w:val="0"/>
          <w:numId w:val="1"/>
        </w:numPr>
        <w:spacing w:after="60" w:line="245"/>
      </w:pPr>
      <w:r>
        <w:rPr>
          <w:rFonts w:ascii="Calibri" w:cs="Calibri" w:eastAsia="Calibri" w:hAnsi="Calibri"/>
          <w:sz w:val="17"/>
          <w:szCs w:val="17"/>
        </w:rPr>
        <w:t xml:space="preserve">High-sensitivity nebuliser</w:t>
      </w:r>
    </w:p>
    <w:p>
      <w:pPr>
        <w:pStyle w:val="ListParagraph"/>
        <w:numPr>
          <w:ilvl w:val="0"/>
          <w:numId w:val="1"/>
        </w:numPr>
        <w:spacing w:after="60" w:line="245"/>
      </w:pPr>
      <w:r>
        <w:rPr>
          <w:rFonts w:ascii="Calibri" w:cs="Calibri" w:eastAsia="Calibri" w:hAnsi="Calibri"/>
          <w:sz w:val="17"/>
          <w:szCs w:val="17"/>
        </w:rPr>
        <w:t xml:space="preserve">Gold and silver hollow cathode lamps</w:t>
      </w:r>
    </w:p>
    <w:p>
      <w:pPr>
        <w:pStyle w:val="ListParagraph"/>
        <w:numPr>
          <w:ilvl w:val="0"/>
          <w:numId w:val="1"/>
        </w:numPr>
        <w:spacing w:after="60" w:line="245"/>
      </w:pPr>
      <w:r>
        <w:rPr>
          <w:rFonts w:ascii="Calibri" w:cs="Calibri" w:eastAsia="Calibri" w:hAnsi="Calibri"/>
          <w:sz w:val="17"/>
          <w:szCs w:val="17"/>
        </w:rPr>
        <w:t xml:space="preserve">Standards</w:t>
      </w:r>
    </w:p>
    <w:p>
      <w:pPr>
        <w:pStyle w:val="ListParagraph"/>
        <w:numPr>
          <w:ilvl w:val="0"/>
          <w:numId w:val="1"/>
        </w:numPr>
        <w:spacing w:after="60" w:line="245"/>
      </w:pPr>
      <w:r>
        <w:rPr>
          <w:rFonts w:ascii="Calibri" w:cs="Calibri" w:eastAsia="Calibri" w:hAnsi="Calibri"/>
          <w:sz w:val="17"/>
          <w:szCs w:val="17"/>
        </w:rPr>
        <w:t xml:space="preserve">Sample racks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PinAAcle 500 with air-acetylene burner and high-sensitivity nebulisers</w:t>
      </w:r>
    </w:p>
    <w:p>
      <w:pPr>
        <w:pStyle w:val="ListParagraph"/>
        <w:numPr>
          <w:ilvl w:val="0"/>
          <w:numId w:val="1"/>
        </w:numPr>
        <w:spacing w:after="60" w:line="245"/>
      </w:pPr>
      <w:r>
        <w:rPr>
          <w:rFonts w:ascii="Calibri" w:cs="Calibri" w:eastAsia="Calibri" w:hAnsi="Calibri"/>
          <w:sz w:val="17"/>
          <w:szCs w:val="17"/>
        </w:rPr>
        <w:t xml:space="preserve">Heritage register line JSEA-PRO-LAB-303-002,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JSEA-PRO-LAB-303-002  ·  AAS Sample Reading - Gold and Silver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