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AAS Sample Reading - Base Metals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SWI-PRO-LAB-303-003  AAS Sample Reading - Base Metals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aas sample reading - base metals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Read base metals on the AAS.</w:t>
      </w:r>
    </w:p>
    <w:p>
      <w:pPr>
        <w:pStyle w:val="ListParagraph"/>
        <w:numPr>
          <w:ilvl w:val="0"/>
          <w:numId w:val="1"/>
        </w:numPr>
        <w:spacing w:after="60" w:line="245"/>
      </w:pPr>
      <w:r>
        <w:rPr>
          <w:rFonts w:ascii="Calibri" w:cs="Calibri" w:eastAsia="Calibri" w:hAnsi="Calibri"/>
          <w:sz w:val="17"/>
          <w:szCs w:val="17"/>
        </w:rPr>
        <w:t xml:space="preserve">The quote is flame AAS only - there is no graphite furnace and no ICP, so the detection limit is what flame gives.</w:t>
      </w:r>
    </w:p>
    <w:p>
      <w:pPr>
        <w:spacing w:after="60" w:before="0" w:line="245"/>
      </w:pPr>
      <w:r>
        <w:rPr>
          <w:rFonts w:ascii="Calibri" w:cs="Calibri" w:eastAsia="Calibri" w:hAnsi="Calibri"/>
          <w:sz w:val="17"/>
          <w:szCs w:val="17"/>
        </w:rPr>
        <w:t xml:space="preserve">It is read with work instruction SWI-PRO-LAB-303-003,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Fit the correct lamp and allow the warm-up period.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Match the standard matrix to the sample matrix. A matrix mismatch shifts the whole calibration and nothing in the data shows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Set the method parameters from the PerkinElmer method for that element.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Calibrate and confirm the correlation before reading samples.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Read quality control samples at the specified positions.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Aspirate blank between samples.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Check for interferences the method warns about - iron on copper is the common one in this circuit.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dilutions and any interference correction applied.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base metal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Fit the correct lamp and allow the warm-up period.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Match the standard matrix to the sample matrix. A matrix mismatch shifts the whole calibration and nothing in the data shows 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Set the method parameters from the PerkinElmer method for that element.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Calibrate and confirm the correlation before reading samples.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Read quality control samples at the specified positions.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Aspirate blank between samples.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Check for interferences the method warns about - iron on copper is the common one in this circuit.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dilutions and any interference correction applied.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PinAAcle 500 with Syngistix</w:t>
      </w:r>
    </w:p>
    <w:p>
      <w:pPr>
        <w:pStyle w:val="ListParagraph"/>
        <w:numPr>
          <w:ilvl w:val="0"/>
          <w:numId w:val="1"/>
        </w:numPr>
        <w:spacing w:after="60" w:line="245"/>
      </w:pPr>
      <w:r>
        <w:rPr>
          <w:rFonts w:ascii="Calibri" w:cs="Calibri" w:eastAsia="Calibri" w:hAnsi="Calibri"/>
          <w:sz w:val="17"/>
          <w:szCs w:val="17"/>
        </w:rPr>
        <w:t xml:space="preserve">Element hollow cathode lamps</w:t>
      </w:r>
    </w:p>
    <w:p>
      <w:pPr>
        <w:pStyle w:val="ListParagraph"/>
        <w:numPr>
          <w:ilvl w:val="0"/>
          <w:numId w:val="1"/>
        </w:numPr>
        <w:spacing w:after="60" w:line="245"/>
      </w:pPr>
      <w:r>
        <w:rPr>
          <w:rFonts w:ascii="Calibri" w:cs="Calibri" w:eastAsia="Calibri" w:hAnsi="Calibri"/>
          <w:sz w:val="17"/>
          <w:szCs w:val="17"/>
        </w:rPr>
        <w:t xml:space="preserve">Standards matched to the sample matrix</w:t>
      </w:r>
    </w:p>
    <w:p>
      <w:pPr>
        <w:pStyle w:val="ListParagraph"/>
        <w:numPr>
          <w:ilvl w:val="0"/>
          <w:numId w:val="1"/>
        </w:numPr>
        <w:spacing w:after="60" w:line="245"/>
      </w:pPr>
      <w:r>
        <w:rPr>
          <w:rFonts w:ascii="Calibri" w:cs="Calibri" w:eastAsia="Calibri" w:hAnsi="Calibri"/>
          <w:sz w:val="17"/>
          <w:szCs w:val="17"/>
        </w:rPr>
        <w:t xml:space="preserve">Sample racks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PinAAcle 500, flame only - no graphite furnace or ICP quoted</w:t>
      </w:r>
    </w:p>
    <w:p>
      <w:pPr>
        <w:pStyle w:val="ListParagraph"/>
        <w:numPr>
          <w:ilvl w:val="0"/>
          <w:numId w:val="1"/>
        </w:numPr>
        <w:spacing w:after="60" w:line="245"/>
      </w:pPr>
      <w:r>
        <w:rPr>
          <w:rFonts w:ascii="Calibri" w:cs="Calibri" w:eastAsia="Calibri" w:hAnsi="Calibri"/>
          <w:sz w:val="17"/>
          <w:szCs w:val="17"/>
        </w:rPr>
        <w:t xml:space="preserve">Heritage register line JSEA-PRO-LAB-303-003,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JSEA-PRO-LAB-303-003  ·  AAS Sample Reading - Base Metals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