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Acetylene and Air Cylinder Changeover and Leak Test</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JSEA-PRO-LAB-303-005</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SWI-PRO-LAB-303-005  Acetylene and Air Cylinder Changeover and Leak Test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HM-PRC-VXX-PRO214  Laboratory Instrumental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303  AAS and Instruments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JSEA-PRO-LAB-303-005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acetylene and air cylinder changeover and leak test in 303  AAS and Instruments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Change over acetylene and air cylinders and leak test the connections.</w:t>
      </w:r>
    </w:p>
    <w:p>
      <w:pPr>
        <w:pStyle w:val="ListParagraph"/>
        <w:numPr>
          <w:ilvl w:val="0"/>
          <w:numId w:val="1"/>
        </w:numPr>
        <w:spacing w:after="60" w:line="245"/>
      </w:pPr>
      <w:r>
        <w:rPr>
          <w:rFonts w:ascii="Calibri" w:cs="Calibri" w:eastAsia="Calibri" w:hAnsi="Calibri"/>
          <w:sz w:val="17"/>
          <w:szCs w:val="17"/>
        </w:rPr>
        <w:t xml:space="preserve">Acetylene is flammable across a very wide range in air and is unstable under pressure. A leaking connection in an enclosed laboratory is a serious event.</w:t>
      </w:r>
    </w:p>
    <w:p>
      <w:pPr>
        <w:spacing w:after="60" w:before="0" w:line="245"/>
      </w:pPr>
      <w:r>
        <w:rPr>
          <w:rFonts w:ascii="Calibri" w:cs="Calibri" w:eastAsia="Calibri" w:hAnsi="Calibri"/>
          <w:sz w:val="17"/>
          <w:szCs w:val="17"/>
        </w:rPr>
        <w:t xml:space="preserve">It is read with work instruction SWI-PRO-LAB-303-005, which gives the step-by-step method, and with HM-PRC-VXX-PRO214 Laboratory Instrumental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Shut down the flame and close the cylinder valve before disconnecting anything.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Move cylinders on the trolley with the valve cap fitted. Never roll or drag a cylinder.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Restrain the cylinder before removing the cap.</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Confirm the regulator is the correct type for the gas and is within its service date. Never use an oxygen regulator on acetylene.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Confirm the flashback arrestor is fitted and in date.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Do not use oil or grease on any fitting.</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Open the cylinder valve slowly, standing to the side of the regulator.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Leak test every joint with leak detection solution. Never with a flame.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9.  Do NOT exceed the acetylene withdrawal rate the cylinder allows - drawing too fast pulls acetone over into the line.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10.  Record the cylinder numbers and the change in the log.</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cylinder change.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Shut down the flame and close the cylinder valve before disconnecting anything.</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Move cylinders on the trolley with the valve cap fitted. Never roll or drag a cylinder.</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Restrain the cylinder before removing the cap.</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Confirm the regulator is the correct type for the gas and is within its service date. Never use an oxygen regulator on acetylene.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Confirm the flashback arrestor is fitted and in date.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Do not use oil or grease on any fitting.</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Open the cylinder valve slowly, standing to the side of the regulator.</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Leak test every joint with leak detection solution. Never with a flame.</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Do NOT exceed the acetylene withdrawal rate the cylinder allows - drawing too fast pulls acetone over into the line.</w:t>
      </w:r>
    </w:p>
    <w:p>
      <w:pPr>
        <w:ind w:left="280"/>
        <w:spacing w:after="50" w:before="0" w:line="245"/>
      </w:pPr>
      <w:r>
        <w:rPr>
          <w:rFonts w:ascii="Calibri" w:cs="Calibri" w:eastAsia="Calibri" w:hAnsi="Calibri"/>
          <w:b/>
          <w:bCs/>
          <w:sz w:val="17"/>
          <w:szCs w:val="17"/>
        </w:rPr>
        <w:t xml:space="preserve">10.</w:t>
      </w:r>
      <w:r>
        <w:rPr>
          <w:rFonts w:ascii="Calibri" w:cs="Calibri" w:eastAsia="Calibri" w:hAnsi="Calibri"/>
          <w:sz w:val="17"/>
          <w:szCs w:val="17"/>
        </w:rPr>
        <w:t xml:space="preserve">  Record the cylinder numbers and the change in the log.</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Acetylene and air cylinders</w:t>
      </w:r>
    </w:p>
    <w:p>
      <w:pPr>
        <w:pStyle w:val="ListParagraph"/>
        <w:numPr>
          <w:ilvl w:val="0"/>
          <w:numId w:val="1"/>
        </w:numPr>
        <w:spacing w:after="60" w:line="245"/>
      </w:pPr>
      <w:r>
        <w:rPr>
          <w:rFonts w:ascii="Calibri" w:cs="Calibri" w:eastAsia="Calibri" w:hAnsi="Calibri"/>
          <w:sz w:val="17"/>
          <w:szCs w:val="17"/>
        </w:rPr>
        <w:t xml:space="preserve">Cylinder trolley and restraints</w:t>
      </w:r>
    </w:p>
    <w:p>
      <w:pPr>
        <w:pStyle w:val="ListParagraph"/>
        <w:numPr>
          <w:ilvl w:val="0"/>
          <w:numId w:val="1"/>
        </w:numPr>
        <w:spacing w:after="60" w:line="245"/>
      </w:pPr>
      <w:r>
        <w:rPr>
          <w:rFonts w:ascii="Calibri" w:cs="Calibri" w:eastAsia="Calibri" w:hAnsi="Calibri"/>
          <w:sz w:val="17"/>
          <w:szCs w:val="17"/>
        </w:rPr>
        <w:t xml:space="preserve">Regulators and flashback arrestors</w:t>
      </w:r>
    </w:p>
    <w:p>
      <w:pPr>
        <w:pStyle w:val="ListParagraph"/>
        <w:numPr>
          <w:ilvl w:val="0"/>
          <w:numId w:val="1"/>
        </w:numPr>
        <w:spacing w:after="60" w:line="245"/>
      </w:pPr>
      <w:r>
        <w:rPr>
          <w:rFonts w:ascii="Calibri" w:cs="Calibri" w:eastAsia="Calibri" w:hAnsi="Calibri"/>
          <w:sz w:val="17"/>
          <w:szCs w:val="17"/>
        </w:rPr>
        <w:t xml:space="preserve">Leak detection solution</w:t>
      </w:r>
    </w:p>
    <w:p>
      <w:pPr>
        <w:pStyle w:val="ListParagraph"/>
        <w:numPr>
          <w:ilvl w:val="0"/>
          <w:numId w:val="1"/>
        </w:numPr>
        <w:spacing w:after="60" w:line="245"/>
      </w:pPr>
      <w:r>
        <w:rPr>
          <w:rFonts w:ascii="Calibri" w:cs="Calibri" w:eastAsia="Calibri" w:hAnsi="Calibri"/>
          <w:sz w:val="17"/>
          <w:szCs w:val="17"/>
        </w:rPr>
        <w:t xml:space="preserve">Spanners - non-sparking</w:t>
      </w:r>
    </w:p>
    <w:p>
      <w:pPr>
        <w:pStyle w:val="ListParagraph"/>
        <w:numPr>
          <w:ilvl w:val="0"/>
          <w:numId w:val="1"/>
        </w:numPr>
        <w:spacing w:after="60" w:line="245"/>
      </w:pPr>
      <w:r>
        <w:rPr>
          <w:rFonts w:ascii="Calibri" w:cs="Calibri" w:eastAsia="Calibri" w:hAnsi="Calibri"/>
          <w:sz w:val="17"/>
          <w:szCs w:val="17"/>
        </w:rPr>
        <w:t xml:space="preserve">Cylinder log</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SWI-PRO-LAB-303-005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SWI-PRO-LAB-303-005.</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KBK-MIR-LAB-AAS-SOP-066 Penggantian tabung gas asetilen</w:t>
      </w:r>
    </w:p>
    <w:p>
      <w:pPr>
        <w:pStyle w:val="ListParagraph"/>
        <w:numPr>
          <w:ilvl w:val="0"/>
          <w:numId w:val="1"/>
        </w:numPr>
        <w:spacing w:after="60" w:line="245"/>
      </w:pPr>
      <w:r>
        <w:rPr>
          <w:rFonts w:ascii="Calibri" w:cs="Calibri" w:eastAsia="Calibri" w:hAnsi="Calibri"/>
          <w:sz w:val="17"/>
          <w:szCs w:val="17"/>
        </w:rPr>
        <w:t xml:space="preserve">Heritage register line JSEA-PRO-LAB-303-005,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JSEA-PRO-LAB-303-005</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JSEA-PRO-LAB-303-005  ·  Acetylene and Air Cylinder Changeover and Leak Test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