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Free Cyanide by Titration - Silver Nitrate and Rhodanine</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JSEA-PRO-LAB-304-005</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SWI-PRO-LAB-304-005  Free Cyanide by Titration - Silver Nitrate and Rhodanine</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HM-PRC-VXX-PRO215  Laboratory Environmental and Cyanide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304  Environmental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JSEA-PRO-LAB-304-005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free cyanide by titration - silver nitrate and rhodanine in 304  Environmental Analysis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free cyanide by silver nitrate titration with rhodanine indicator.</w:t>
      </w:r>
    </w:p>
    <w:p>
      <w:pPr>
        <w:pStyle w:val="ListParagraph"/>
        <w:numPr>
          <w:ilvl w:val="0"/>
          <w:numId w:val="1"/>
        </w:numPr>
        <w:spacing w:after="60" w:line="245"/>
      </w:pPr>
      <w:r>
        <w:rPr>
          <w:rFonts w:ascii="Calibri" w:cs="Calibri" w:eastAsia="Calibri" w:hAnsi="Calibri"/>
          <w:sz w:val="17"/>
          <w:szCs w:val="17"/>
        </w:rPr>
        <w:t xml:space="preserve">Free cyanide is the number the plant is dosed on and the number the licence is judged on.</w:t>
      </w:r>
    </w:p>
    <w:p>
      <w:pPr>
        <w:spacing w:after="60" w:before="0" w:line="245"/>
      </w:pPr>
      <w:r>
        <w:rPr>
          <w:rFonts w:ascii="Calibri" w:cs="Calibri" w:eastAsia="Calibri" w:hAnsi="Calibri"/>
          <w:sz w:val="17"/>
          <w:szCs w:val="17"/>
        </w:rPr>
        <w:t xml:space="preserve">It is read with work instruction SWI-PRO-LAB-304-005, which gives the step-by-step method, and with HM-PRC-VXX-PRO215 Laboratory Environmental and Cyanide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Work in the fume cupboard with the airflow confirmed. Cyanide solutions release HCN, faster if the pH has dropped.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Confirm the sample pH is above the method minimum before titrating. Below it, cyanide is being lost as gas and the result is low.</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Filter if not clear, and titrate as soon after filtration as possible.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Splash of cyanide-bearing slurry or solution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Condition the burette three times with standardised AgNO3.</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Pipette the aliquot and add 3 to 5 drops of rhodanine indicator - the solution turns pale yellow.</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Titrate dropwise with continuous swirling. Near the endpoint a salmon pink precipitate forms and redissolves slowly; slow the addition there.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Continue to a permanent salmon pink holding 30 seconds without swirling.</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titre and calculate. Run a duplicate every tenth sample and a standard each shift.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9.  Where the HI902C is used, confirm the ported method against a manual titration weekly.</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Splash of cyanide-bearing slurry or solution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shift on every cyanide stream on the schedule.</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Work in the fume cupboard with the airflow confirmed. Cyanide solutions release HCN, faster if the pH has dropped.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Confirm the sample pH is above the method minimum before titrating. Below it, cyanide is being lost as gas and the result is low.</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Filter if not clear, and titrate as soon after filtration as possible.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Condition the burette three times with standardised AgNO3.</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Pipette the aliquot and add 3 to 5 drops of rhodanine indicator - the solution turns pale yellow.</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Titrate dropwise with continuous swirling. Near the endpoint a salmon pink precipitate forms and redissolves slowly; slow the addition there.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Continue to a permanent salmon pink holding 30 seconds without swirling.</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titre and calculate. Run a duplicate every tenth sample and a standard each shift.</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Where the HI902C is used, confirm the ported method against a manual titration weekly.</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Hanna HI902C titrator with ISE</w:t>
      </w:r>
    </w:p>
    <w:p>
      <w:pPr>
        <w:pStyle w:val="ListParagraph"/>
        <w:numPr>
          <w:ilvl w:val="0"/>
          <w:numId w:val="1"/>
        </w:numPr>
        <w:spacing w:after="60" w:line="245"/>
      </w:pPr>
      <w:r>
        <w:rPr>
          <w:rFonts w:ascii="Calibri" w:cs="Calibri" w:eastAsia="Calibri" w:hAnsi="Calibri"/>
          <w:sz w:val="17"/>
          <w:szCs w:val="17"/>
        </w:rPr>
        <w:t xml:space="preserve">Burette 50 mL and stand</w:t>
      </w:r>
    </w:p>
    <w:p>
      <w:pPr>
        <w:pStyle w:val="ListParagraph"/>
        <w:numPr>
          <w:ilvl w:val="0"/>
          <w:numId w:val="1"/>
        </w:numPr>
        <w:spacing w:after="60" w:line="245"/>
      </w:pPr>
      <w:r>
        <w:rPr>
          <w:rFonts w:ascii="Calibri" w:cs="Calibri" w:eastAsia="Calibri" w:hAnsi="Calibri"/>
          <w:sz w:val="17"/>
          <w:szCs w:val="17"/>
        </w:rPr>
        <w:t xml:space="preserve">Pipettes</w:t>
      </w:r>
    </w:p>
    <w:p>
      <w:pPr>
        <w:pStyle w:val="ListParagraph"/>
        <w:numPr>
          <w:ilvl w:val="0"/>
          <w:numId w:val="1"/>
        </w:numPr>
        <w:spacing w:after="60" w:line="245"/>
      </w:pPr>
      <w:r>
        <w:rPr>
          <w:rFonts w:ascii="Calibri" w:cs="Calibri" w:eastAsia="Calibri" w:hAnsi="Calibri"/>
          <w:sz w:val="17"/>
          <w:szCs w:val="17"/>
        </w:rPr>
        <w:t xml:space="preserve">Conical flasks 250 mL</w:t>
      </w:r>
    </w:p>
    <w:p>
      <w:pPr>
        <w:pStyle w:val="ListParagraph"/>
        <w:numPr>
          <w:ilvl w:val="0"/>
          <w:numId w:val="1"/>
        </w:numPr>
        <w:spacing w:after="60" w:line="245"/>
      </w:pPr>
      <w:r>
        <w:rPr>
          <w:rFonts w:ascii="Calibri" w:cs="Calibri" w:eastAsia="Calibri" w:hAnsi="Calibri"/>
          <w:sz w:val="17"/>
          <w:szCs w:val="17"/>
        </w:rPr>
        <w:t xml:space="preserve">Standardised AgNO3</w:t>
      </w:r>
    </w:p>
    <w:p>
      <w:pPr>
        <w:pStyle w:val="ListParagraph"/>
        <w:numPr>
          <w:ilvl w:val="0"/>
          <w:numId w:val="1"/>
        </w:numPr>
        <w:spacing w:after="60" w:line="245"/>
      </w:pPr>
      <w:r>
        <w:rPr>
          <w:rFonts w:ascii="Calibri" w:cs="Calibri" w:eastAsia="Calibri" w:hAnsi="Calibri"/>
          <w:sz w:val="17"/>
          <w:szCs w:val="17"/>
        </w:rPr>
        <w:t xml:space="preserve">Rhodanine indicator</w:t>
      </w:r>
    </w:p>
    <w:p>
      <w:pPr>
        <w:pStyle w:val="ListParagraph"/>
        <w:numPr>
          <w:ilvl w:val="0"/>
          <w:numId w:val="1"/>
        </w:numPr>
        <w:spacing w:after="60" w:line="245"/>
      </w:pPr>
      <w:r>
        <w:rPr>
          <w:rFonts w:ascii="Calibri" w:cs="Calibri" w:eastAsia="Calibri" w:hAnsi="Calibri"/>
          <w:sz w:val="17"/>
          <w:szCs w:val="17"/>
        </w:rPr>
        <w:t xml:space="preserve">Fume cupboard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SWI-PRO-LAB-304-005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SWI-PRO-LAB-304-005.</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Hanna HI902C titrator with ISE, plus burette stands and clamps for the manual check</w:t>
      </w:r>
    </w:p>
    <w:p>
      <w:pPr>
        <w:pStyle w:val="ListParagraph"/>
        <w:numPr>
          <w:ilvl w:val="0"/>
          <w:numId w:val="1"/>
        </w:numPr>
        <w:spacing w:after="60" w:line="245"/>
      </w:pPr>
      <w:r>
        <w:rPr>
          <w:rFonts w:ascii="Calibri" w:cs="Calibri" w:eastAsia="Calibri" w:hAnsi="Calibri"/>
          <w:sz w:val="17"/>
          <w:szCs w:val="17"/>
        </w:rPr>
        <w:t xml:space="preserve">Heritage register line JSEA-PRO-LAB-304-005,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JSEA-PRO-LAB-304-005</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JSEA-PRO-LAB-304-005  ·  Free Cyanide by Titration - Silver Nitrate and Rhodanine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