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Cyanide Leach of Solid Samples - CN-Soluble Assay</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JSEA-PRO-LAB-304-011</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SWI-PRO-LAB-304-011  Cyanide Leach of Solid Samples - CN-Soluble Assay</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HM-PRC-VXX-PRO215  Laboratory Environmental and Cyanide Analysis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304  Environmental Analysis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JSEA-PRO-LAB-304-011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cyanide leach of solid samples - cn-soluble assay in 304  Environmental Analysis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Leach solid samples in cyanide to determine the cyanide-soluble assay.</w:t>
      </w:r>
    </w:p>
    <w:p>
      <w:pPr>
        <w:spacing w:after="60" w:before="0" w:line="245"/>
      </w:pPr>
      <w:r>
        <w:rPr>
          <w:rFonts w:ascii="Calibri" w:cs="Calibri" w:eastAsia="Calibri" w:hAnsi="Calibri"/>
          <w:sz w:val="17"/>
          <w:szCs w:val="17"/>
        </w:rPr>
        <w:t xml:space="preserve">It is read with work instruction SWI-PRO-LAB-304-011, which gives the step-by-step method, and with HM-PRC-VXX-PRO215 Laboratory Environmental and Cyanide Analysis,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Weigh the charge and record the exact mass.</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Adjust the pulp to the target pH with lime and CONFIRM the pH before adding any cyanide. Adding cyanide below pH 10.5 releases HCN.</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Contact with sulphuric or hydrochloric acid - burn to skin or eyes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Add the cyanide solution to the stated concentration and record the start time.</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Non-representative sample leading to a wrong process decision</w:t>
            </w:r>
          </w:p>
          <w:p>
            <w:pPr>
              <w:spacing w:after="0" w:line="235"/>
            </w:pPr>
            <w:r>
              <w:rPr>
                <w:rFonts w:ascii="Calibri" w:cs="Calibri" w:eastAsia="Calibri" w:hAnsi="Calibri"/>
                <w:sz w:val="15"/>
                <w:szCs w:val="15"/>
              </w:rPr>
              <w:t xml:space="preserve">Contact with an agitator, sample cutter, pump or screen that starts without warning</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pPr>
              <w:spacing w:after="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Confirm the bottle caps and seals before loading onto the roller, and confirm the guard is in place.</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Cross-contamination from a container or cutter not cleaned between points</w:t>
            </w:r>
          </w:p>
          <w:p>
            <w:pPr>
              <w:spacing w:after="0" w:line="235"/>
            </w:pPr>
            <w:r>
              <w:rPr>
                <w:rFonts w:ascii="Calibri" w:cs="Calibri" w:eastAsia="Calibri" w:hAnsi="Calibri"/>
                <w:sz w:val="15"/>
                <w:szCs w:val="15"/>
              </w:rPr>
              <w:t xml:space="preserve">Contact with an agitator, sample cutter, pump or screen that starts without warning</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p>
            <w:pPr>
              <w:spacing w:after="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Roll for the stated period.</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Open bottles only inside the fume cupboard.</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Inhalation of acid fume or reagent vapour at the bench</w:t>
            </w:r>
          </w:p>
          <w:p>
            <w:pPr>
              <w:spacing w:after="0" w:line="235"/>
            </w:pPr>
            <w:r>
              <w:rPr>
                <w:rFonts w:ascii="Calibri" w:cs="Calibri" w:eastAsia="Calibri" w:hAnsi="Calibri"/>
                <w:sz w:val="15"/>
                <w:szCs w:val="15"/>
              </w:rPr>
              <w:t xml:space="preserve">Splash of cyanide-bearing slurry or solution to skin or eyes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pPr>
              <w:spacing w:after="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Check and correct pH and cyanide strength at the intervals the method sets.</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Contact with sulphuric or hydrochloric acid - burn to skin or eyes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Filter, wash and dry the residue; assay both residue and solution and calculate the cyanide-soluble fraction.</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Splash of cyanide-bearing slurry or solution to skin or eyes</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Per the analysis schedule and on tail investigation.</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Weigh the charge and record the exact mass.</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Adjust the pulp to the target pH with lime and CONFIRM the pH before adding any cyanide. Adding cyanide below pH 10.5 releases HCN.</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Add the cyanide solution to the stated concentration and record the start time.</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Confirm the bottle caps and seals before loading onto the roller, and confirm the guard is in place.</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Roll for the stated period.</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Open bottles only inside the fume cupboard.</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Check and correct pH and cyanide strength at the intervals the method sets.</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Filter, wash and dry the residue; assay both residue and solution and calculate the cyanide-soluble fraction.</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Bottle roller MkII with guarding</w:t>
      </w:r>
    </w:p>
    <w:p>
      <w:pPr>
        <w:pStyle w:val="ListParagraph"/>
        <w:numPr>
          <w:ilvl w:val="0"/>
          <w:numId w:val="1"/>
        </w:numPr>
        <w:spacing w:after="60" w:line="245"/>
      </w:pPr>
      <w:r>
        <w:rPr>
          <w:rFonts w:ascii="Calibri" w:cs="Calibri" w:eastAsia="Calibri" w:hAnsi="Calibri"/>
          <w:sz w:val="17"/>
          <w:szCs w:val="17"/>
        </w:rPr>
        <w:t xml:space="preserve">Bottles</w:t>
      </w:r>
    </w:p>
    <w:p>
      <w:pPr>
        <w:pStyle w:val="ListParagraph"/>
        <w:numPr>
          <w:ilvl w:val="0"/>
          <w:numId w:val="1"/>
        </w:numPr>
        <w:spacing w:after="60" w:line="245"/>
      </w:pPr>
      <w:r>
        <w:rPr>
          <w:rFonts w:ascii="Calibri" w:cs="Calibri" w:eastAsia="Calibri" w:hAnsi="Calibri"/>
          <w:sz w:val="17"/>
          <w:szCs w:val="17"/>
        </w:rPr>
        <w:t xml:space="preserve">Sodium cyanide solution at known strength</w:t>
      </w:r>
    </w:p>
    <w:p>
      <w:pPr>
        <w:pStyle w:val="ListParagraph"/>
        <w:numPr>
          <w:ilvl w:val="0"/>
          <w:numId w:val="1"/>
        </w:numPr>
        <w:spacing w:after="60" w:line="245"/>
      </w:pPr>
      <w:r>
        <w:rPr>
          <w:rFonts w:ascii="Calibri" w:cs="Calibri" w:eastAsia="Calibri" w:hAnsi="Calibri"/>
          <w:sz w:val="17"/>
          <w:szCs w:val="17"/>
        </w:rPr>
        <w:t xml:space="preserve">Lime</w:t>
      </w:r>
    </w:p>
    <w:p>
      <w:pPr>
        <w:pStyle w:val="ListParagraph"/>
        <w:numPr>
          <w:ilvl w:val="0"/>
          <w:numId w:val="1"/>
        </w:numPr>
        <w:spacing w:after="60" w:line="245"/>
      </w:pPr>
      <w:r>
        <w:rPr>
          <w:rFonts w:ascii="Calibri" w:cs="Calibri" w:eastAsia="Calibri" w:hAnsi="Calibri"/>
          <w:sz w:val="17"/>
          <w:szCs w:val="17"/>
        </w:rPr>
        <w:t xml:space="preserve">pH meter</w:t>
      </w:r>
    </w:p>
    <w:p>
      <w:pPr>
        <w:pStyle w:val="ListParagraph"/>
        <w:numPr>
          <w:ilvl w:val="0"/>
          <w:numId w:val="1"/>
        </w:numPr>
        <w:spacing w:after="60" w:line="245"/>
      </w:pPr>
      <w:r>
        <w:rPr>
          <w:rFonts w:ascii="Calibri" w:cs="Calibri" w:eastAsia="Calibri" w:hAnsi="Calibri"/>
          <w:sz w:val="17"/>
          <w:szCs w:val="17"/>
        </w:rPr>
        <w:t xml:space="preserve">Filtration apparatus</w:t>
      </w:r>
    </w:p>
    <w:p>
      <w:pPr>
        <w:pStyle w:val="ListParagraph"/>
        <w:numPr>
          <w:ilvl w:val="0"/>
          <w:numId w:val="1"/>
        </w:numPr>
        <w:spacing w:after="60" w:line="245"/>
      </w:pPr>
      <w:r>
        <w:rPr>
          <w:rFonts w:ascii="Calibri" w:cs="Calibri" w:eastAsia="Calibri" w:hAnsi="Calibri"/>
          <w:sz w:val="17"/>
          <w:szCs w:val="17"/>
        </w:rPr>
        <w:t xml:space="preserve">Balance</w:t>
      </w:r>
    </w:p>
    <w:p>
      <w:pPr>
        <w:pStyle w:val="ListParagraph"/>
        <w:numPr>
          <w:ilvl w:val="0"/>
          <w:numId w:val="1"/>
        </w:numPr>
        <w:spacing w:after="60" w:line="245"/>
      </w:pPr>
      <w:r>
        <w:rPr>
          <w:rFonts w:ascii="Calibri" w:cs="Calibri" w:eastAsia="Calibri" w:hAnsi="Calibri"/>
          <w:sz w:val="17"/>
          <w:szCs w:val="17"/>
        </w:rPr>
        <w:t xml:space="preserve">Fume cupboard</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SWI-PRO-LAB-304-011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SWI-PRO-LAB-304-011.</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KBK-MIR-LAB-ENV-SOP-082; bottle roller and titrator both in ILS quote Q0023979</w:t>
      </w:r>
    </w:p>
    <w:p>
      <w:pPr>
        <w:pStyle w:val="ListParagraph"/>
        <w:numPr>
          <w:ilvl w:val="0"/>
          <w:numId w:val="1"/>
        </w:numPr>
        <w:spacing w:after="60" w:line="245"/>
      </w:pPr>
      <w:r>
        <w:rPr>
          <w:rFonts w:ascii="Calibri" w:cs="Calibri" w:eastAsia="Calibri" w:hAnsi="Calibri"/>
          <w:sz w:val="17"/>
          <w:szCs w:val="17"/>
        </w:rPr>
        <w:t xml:space="preserve">Heritage register line JSEA-PRO-LAB-304-011,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JSEA-PRO-LAB-304-011</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JSEA-PRO-LAB-304-011  ·  Cyanide Leach of Solid Samples - CN-Soluble Assay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