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Moisture Determination for Total Cyanide on Solids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SWI-PRO-LAB-304-012  Moisture Determination for Total Cyanide on Solids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JSEA-PRO-LAB-304-012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moisture determination for total cyanide on solids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moisture for reporting total cyanide on solids.</w:t>
      </w:r>
    </w:p>
    <w:p>
      <w:pPr>
        <w:spacing w:after="60" w:before="0" w:line="245"/>
      </w:pPr>
      <w:r>
        <w:rPr>
          <w:rFonts w:ascii="Calibri" w:cs="Calibri" w:eastAsia="Calibri" w:hAnsi="Calibri"/>
          <w:sz w:val="17"/>
          <w:szCs w:val="17"/>
        </w:rPr>
        <w:t xml:space="preserve">It is read with work instruction SWI-PRO-LAB-304-012,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Take the moisture subsample at the same time as the cyanide subsample, from the same homogenised material.</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Weigh the tin, add the sample and record the wet mass.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Dry at the method temperature to constant mass.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Cool in the desiccator before weighing.</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Calculate moisture and apply it to the cyanide result so it is reported on the correct basis.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Note that total cyanide itself cannot currently be determined on site - this determination supports an external result.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With every total cyanide determination on a solid.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Take the moisture subsample at the same time as the cyanide subsample, from the same homogenised material.</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Weigh the tin, add the sample and record the wet mass.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Dry at the method temperature to constant mass.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Cool in the desiccator before weighing.</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Calculate moisture and apply it to the cyanide result so it is reported on the correct basis.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Note that total cyanide itself cannot currently be determined on site - this determination supports an external result.</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Drying oven</w:t>
      </w:r>
    </w:p>
    <w:p>
      <w:pPr>
        <w:pStyle w:val="ListParagraph"/>
        <w:numPr>
          <w:ilvl w:val="0"/>
          <w:numId w:val="1"/>
        </w:numPr>
        <w:spacing w:after="60" w:line="245"/>
      </w:pPr>
      <w:r>
        <w:rPr>
          <w:rFonts w:ascii="Calibri" w:cs="Calibri" w:eastAsia="Calibri" w:hAnsi="Calibri"/>
          <w:sz w:val="17"/>
          <w:szCs w:val="17"/>
        </w:rPr>
        <w:t xml:space="preserve">Moisture tins</w:t>
      </w:r>
    </w:p>
    <w:p>
      <w:pPr>
        <w:pStyle w:val="ListParagraph"/>
        <w:numPr>
          <w:ilvl w:val="0"/>
          <w:numId w:val="1"/>
        </w:numPr>
        <w:spacing w:after="60" w:line="245"/>
      </w:pPr>
      <w:r>
        <w:rPr>
          <w:rFonts w:ascii="Calibri" w:cs="Calibri" w:eastAsia="Calibri" w:hAnsi="Calibri"/>
          <w:sz w:val="17"/>
          <w:szCs w:val="17"/>
        </w:rPr>
        <w:t xml:space="preserve">Analytical balance</w:t>
      </w:r>
    </w:p>
    <w:p>
      <w:pPr>
        <w:pStyle w:val="ListParagraph"/>
        <w:numPr>
          <w:ilvl w:val="0"/>
          <w:numId w:val="1"/>
        </w:numPr>
        <w:spacing w:after="60" w:line="245"/>
      </w:pPr>
      <w:r>
        <w:rPr>
          <w:rFonts w:ascii="Calibri" w:cs="Calibri" w:eastAsia="Calibri" w:hAnsi="Calibri"/>
          <w:sz w:val="17"/>
          <w:szCs w:val="17"/>
        </w:rPr>
        <w:t xml:space="preserve">Desiccator</w:t>
      </w:r>
    </w:p>
    <w:p>
      <w:pPr>
        <w:pStyle w:val="ListParagraph"/>
        <w:numPr>
          <w:ilvl w:val="0"/>
          <w:numId w:val="1"/>
        </w:numPr>
        <w:spacing w:after="60" w:line="245"/>
      </w:pPr>
      <w:r>
        <w:rPr>
          <w:rFonts w:ascii="Calibri" w:cs="Calibri" w:eastAsia="Calibri" w:hAnsi="Calibri"/>
          <w:sz w:val="17"/>
          <w:szCs w:val="17"/>
        </w:rPr>
        <w:t xml:space="preserve">Tongs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SWI-PRO-LAB-304-012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SWI-PRO-LAB-304-012.</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KBK-MIR-LAB-ENV-SOP-092; depends on total cyanide capability, which is not equipped</w:t>
      </w:r>
    </w:p>
    <w:p>
      <w:pPr>
        <w:pStyle w:val="ListParagraph"/>
        <w:numPr>
          <w:ilvl w:val="0"/>
          <w:numId w:val="1"/>
        </w:numPr>
        <w:spacing w:after="60" w:line="245"/>
      </w:pPr>
      <w:r>
        <w:rPr>
          <w:rFonts w:ascii="Calibri" w:cs="Calibri" w:eastAsia="Calibri" w:hAnsi="Calibri"/>
          <w:sz w:val="17"/>
          <w:szCs w:val="17"/>
        </w:rPr>
        <w:t xml:space="preserve">Heritage register line JSEA-PRO-LAB-304-012,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JSEA-PRO-LAB-304-012  ·  Moisture Determination for Total Cyanide on Solids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