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50"/>
      </w:pPr>
      <w:r>
        <w:rPr>
          <w:rFonts w:ascii="Calibri" w:cs="Calibri" w:eastAsia="Calibri" w:hAnsi="Calibri"/>
          <w:b/>
          <w:bCs/>
          <w:color w:val="1F3864"/>
          <w:sz w:val="19"/>
          <w:szCs w:val="19"/>
        </w:rPr>
        <w:t xml:space="preserve">Mt. Morgan JOB SAFETY AND ENVIRONMENTAL ANALYSIS</w:t>
      </w:r>
    </w:p>
    <w:p>
      <w:pPr>
        <w:pBdr>
          <w:bottom w:val="single" w:sz="8" w:space="4" w:color="1F3864"/>
        </w:pBdr>
        <w:spacing w:after="80" w:before="0" w:line="300"/>
      </w:pPr>
      <w:r>
        <w:rPr>
          <w:rFonts w:ascii="Calibri" w:cs="Calibri" w:eastAsia="Calibri" w:hAnsi="Calibri"/>
          <w:b/>
          <w:bCs/>
          <w:color w:val="1F3864"/>
          <w:sz w:val="32"/>
          <w:szCs w:val="32"/>
        </w:rPr>
        <w:t xml:space="preserve">Acid Neutralising Capacity Determination</w:t>
      </w:r>
    </w:p>
    <w:p>
      <w:pPr>
        <w:spacing w:after="140" w:before="0" w:line="245"/>
      </w:pPr>
      <w:r>
        <w:rPr>
          <w:rFonts w:ascii="Calibri" w:cs="Calibri" w:eastAsia="Calibri" w:hAnsi="Calibri"/>
          <w:color w:val="555555"/>
          <w:sz w:val="17"/>
          <w:szCs w:val="17"/>
        </w:rPr>
        <w:t xml:space="preserve">Job Safety and Environmental Analysis  ·  Heritage Minerals  ·  Mt. Morgan Processing Plant</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number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JSEA-PRO-LAB-304-017</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Work instruction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SWI-PRO-LAB-304-017  Acid Neutralising Capacity Determination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Parent procedure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HM-PRC-VXX-PRO215  Laboratory Environmental and Cyanide Analysis</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Area</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304  Environmental Analysis</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Classification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Safety-critical</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Register line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JSEA-PRO-LAB-304-017 in HM-MMM-WHS-REG-JSEA-PRO-updated_10, tab JSEA_LAB</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Process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Heritage Mineral Operations  ·  Business unit Mt. Morgan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Operations Superintendent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approver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Manager</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Revision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Rev 0</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11 August 2026</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Prepared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GGT (cost code 4034-033)</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Reviewed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Approved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bl>
    <w:p>
      <w:pPr>
        <w:spacing w:after="100" w:before="0" w:line="245"/>
      </w:pPr>
    </w:p>
    <w:p>
      <w:pPr>
        <w:pStyle w:val="Heading1"/>
        <w:spacing w:after="120" w:before="260"/>
      </w:pPr>
      <w:r>
        <w:rPr>
          <w:rFonts w:ascii="Calibri" w:cs="Calibri" w:eastAsia="Calibri" w:hAnsi="Calibri"/>
          <w:b/>
          <w:bCs/>
          <w:color w:val="1F3864"/>
          <w:sz w:val="24"/>
          <w:szCs w:val="24"/>
        </w:rPr>
        <w:t xml:space="preserve">1  PURPOSE / SCOPE</w:t>
      </w:r>
    </w:p>
    <w:p>
      <w:pPr>
        <w:spacing w:after="60" w:before="0" w:line="245"/>
      </w:pPr>
      <w:r>
        <w:rPr>
          <w:rFonts w:ascii="Calibri" w:cs="Calibri" w:eastAsia="Calibri" w:hAnsi="Calibri"/>
          <w:sz w:val="17"/>
          <w:szCs w:val="17"/>
        </w:rPr>
        <w:t xml:space="preserve">This job safety and environmental analysis covers the task acid neutralising capacity determination in 304  Environmental Analysis at the Mt. Morgan processing plant. It identifies the hazards at each step of the task, the controls required, and the residual risk once those controls are in place.</w:t>
      </w:r>
    </w:p>
    <w:p>
      <w:pPr>
        <w:pStyle w:val="ListParagraph"/>
        <w:numPr>
          <w:ilvl w:val="0"/>
          <w:numId w:val="1"/>
        </w:numPr>
        <w:spacing w:after="60" w:line="245"/>
      </w:pPr>
      <w:r>
        <w:rPr>
          <w:rFonts w:ascii="Calibri" w:cs="Calibri" w:eastAsia="Calibri" w:hAnsi="Calibri"/>
          <w:sz w:val="17"/>
          <w:szCs w:val="17"/>
        </w:rPr>
        <w:t xml:space="preserve">Determine acid neutralising capacity.</w:t>
      </w:r>
    </w:p>
    <w:p>
      <w:pPr>
        <w:spacing w:after="60" w:before="0" w:line="245"/>
      </w:pPr>
      <w:r>
        <w:rPr>
          <w:rFonts w:ascii="Calibri" w:cs="Calibri" w:eastAsia="Calibri" w:hAnsi="Calibri"/>
          <w:sz w:val="17"/>
          <w:szCs w:val="17"/>
        </w:rPr>
        <w:t xml:space="preserve">It is read with work instruction SWI-PRO-LAB-304-017, which gives the step-by-step method, and with HM-PRC-VXX-PRO215 Laboratory Environmental and Cyanide Analysis, the procedure this task sits under.</w:t>
      </w:r>
    </w:p>
    <w:p>
      <w:pPr>
        <w:pStyle w:val="Heading1"/>
        <w:spacing w:after="120" w:before="260"/>
      </w:pPr>
      <w:r>
        <w:rPr>
          <w:rFonts w:ascii="Calibri" w:cs="Calibri" w:eastAsia="Calibri" w:hAnsi="Calibri"/>
          <w:b/>
          <w:bCs/>
          <w:color w:val="1F3864"/>
          <w:sz w:val="24"/>
          <w:szCs w:val="24"/>
        </w:rPr>
        <w:t xml:space="preserve">2  RESPONSIBILITIES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600"/>
        <w:gridCol w:w="12238"/>
      </w:tblGrid>
      <w:tr>
        <w:trPr>
          <w:tblHeader/>
        </w:trPr>
        <w:tc>
          <w:tcPr>
            <w:tcW w:type="dxa" w:w="2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Role</w:t>
            </w:r>
          </w:p>
        </w:tc>
        <w:tc>
          <w:tcPr>
            <w:tcW w:type="dxa" w:w="122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Responsibilities</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Operator / Metallurgical Technician</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Only carry out this task where competent and authorised to do so.</w:t>
            </w:r>
          </w:p>
          <w:p>
            <w:pPr>
              <w:spacing w:after="30" w:line="235"/>
            </w:pPr>
            <w:r>
              <w:rPr>
                <w:rFonts w:ascii="Calibri" w:cs="Calibri" w:eastAsia="Calibri" w:hAnsi="Calibri"/>
                <w:sz w:val="16"/>
                <w:szCs w:val="16"/>
              </w:rPr>
              <w:t xml:space="preserve">Wear the PPE listed in Section 5 without exception.</w:t>
            </w:r>
          </w:p>
          <w:p>
            <w:pPr>
              <w:spacing w:after="30" w:line="235"/>
            </w:pPr>
            <w:r>
              <w:rPr>
                <w:rFonts w:ascii="Calibri" w:cs="Calibri" w:eastAsia="Calibri" w:hAnsi="Calibri"/>
                <w:sz w:val="16"/>
                <w:szCs w:val="16"/>
              </w:rPr>
              <w:t xml:space="preserve">Stop the task and report immediately if any control in Section 4 is not in place.</w:t>
            </w:r>
          </w:p>
          <w:p>
            <w:pPr>
              <w:spacing w:after="0" w:line="235"/>
            </w:pPr>
            <w:r>
              <w:rPr>
                <w:rFonts w:ascii="Calibri" w:cs="Calibri" w:eastAsia="Calibri" w:hAnsi="Calibri"/>
                <w:sz w:val="16"/>
                <w:szCs w:val="16"/>
              </w:rPr>
              <w:t xml:space="preserve">Record the work accurately. Never invent or back-fill a result that was not obtained.</w:t>
            </w:r>
          </w:p>
        </w:tc>
      </w:tr>
      <w:tr>
        <w:tc>
          <w:tcPr>
            <w:tcW w:type="dxa" w:w="26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Supervisor / Coordinator</w:t>
            </w:r>
          </w:p>
        </w:tc>
        <w:tc>
          <w:tcPr>
            <w:tcW w:type="dxa" w:w="12238"/>
            <w:shd w:val="clear" w:color="auto" w:fill="F2F5FA"/>
            <w:tcMar>
              <w:top w:type="dxa" w:w="55"/>
              <w:left w:type="dxa" w:w="85"/>
              <w:bottom w:type="dxa" w:w="55"/>
              <w:right w:type="dxa" w:w="85"/>
            </w:tcMar>
          </w:tcPr>
          <w:p>
            <w:pPr>
              <w:spacing w:after="30" w:line="235"/>
            </w:pPr>
            <w:r>
              <w:rPr>
                <w:rFonts w:ascii="Calibri" w:cs="Calibri" w:eastAsia="Calibri" w:hAnsi="Calibri"/>
                <w:sz w:val="16"/>
                <w:szCs w:val="16"/>
              </w:rPr>
              <w:t xml:space="preserve">Ensure the safety of all personnel carrying out this task.</w:t>
            </w:r>
          </w:p>
          <w:p>
            <w:pPr>
              <w:spacing w:after="30" w:line="235"/>
            </w:pPr>
            <w:r>
              <w:rPr>
                <w:rFonts w:ascii="Calibri" w:cs="Calibri" w:eastAsia="Calibri" w:hAnsi="Calibri"/>
                <w:sz w:val="16"/>
                <w:szCs w:val="16"/>
              </w:rPr>
              <w:t xml:space="preserve">Understand that much of the plant is automated and equipment may start or stop without warning.</w:t>
            </w:r>
          </w:p>
          <w:p>
            <w:pPr>
              <w:spacing w:after="30" w:line="235"/>
            </w:pPr>
            <w:r>
              <w:rPr>
                <w:rFonts w:ascii="Calibri" w:cs="Calibri" w:eastAsia="Calibri" w:hAnsi="Calibri"/>
                <w:sz w:val="16"/>
                <w:szCs w:val="16"/>
              </w:rPr>
              <w:t xml:space="preserve">Confirm the task is authorised and that the area is fit before it starts.</w:t>
            </w:r>
          </w:p>
          <w:p>
            <w:pPr>
              <w:spacing w:after="0" w:line="235"/>
            </w:pPr>
            <w:r>
              <w:rPr>
                <w:rFonts w:ascii="Calibri" w:cs="Calibri" w:eastAsia="Calibri" w:hAnsi="Calibri"/>
                <w:sz w:val="16"/>
                <w:szCs w:val="16"/>
              </w:rPr>
              <w:t xml:space="preserve">Ensure this JSEA is communicated to everyone doing the task and that the sign-on sheet is completed.</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Manager / Superintendent</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Ensure all personnel have received adequate training and are competent.</w:t>
            </w:r>
          </w:p>
          <w:p>
            <w:pPr>
              <w:spacing w:after="30" w:line="235"/>
            </w:pPr>
            <w:r>
              <w:rPr>
                <w:rFonts w:ascii="Calibri" w:cs="Calibri" w:eastAsia="Calibri" w:hAnsi="Calibri"/>
                <w:sz w:val="16"/>
                <w:szCs w:val="16"/>
              </w:rPr>
              <w:t xml:space="preserve">Ensure this JSEA is reviewed at the interval in Section 10 and after any incident or change.</w:t>
            </w:r>
          </w:p>
          <w:p>
            <w:pPr>
              <w:spacing w:after="0" w:line="235"/>
            </w:pPr>
            <w:r>
              <w:rPr>
                <w:rFonts w:ascii="Calibri" w:cs="Calibri" w:eastAsia="Calibri" w:hAnsi="Calibri"/>
                <w:sz w:val="16"/>
                <w:szCs w:val="16"/>
              </w:rPr>
              <w:t xml:space="preserve">Approve the risk ranking in Section 4.</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3  ABBREVIATIONS / DEFINITIONS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000"/>
        <w:gridCol w:w="12838"/>
      </w:tblGrid>
      <w:tr>
        <w:trPr>
          <w:tblHeader/>
        </w:trPr>
        <w:tc>
          <w:tcPr>
            <w:tcW w:type="dxa" w:w="20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Term</w:t>
            </w:r>
          </w:p>
        </w:tc>
        <w:tc>
          <w:tcPr>
            <w:tcW w:type="dxa" w:w="12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Meaning</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AVR</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Acidification, volatilisation and regeneration - the cyanide recovery step in Area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CIL</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Carbon in leach</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CN Free</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Free cyanide, determined by silver nitrate titration</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DO</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Dissolved oxygen</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HCN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Hydrogen cyanide gas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JSEA</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Job safety and environmental analysis - this document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P80</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screen size through which 80 per cent of the material passes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PPE</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Personal protective equipment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ReCYN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resin-in-pulp cyanide and metal recovery process used in Areas 041, 051, 071 and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SWI</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Standard work instruction - the step-by-step document that sits under this JSEA</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SWP</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Standard work procedure - the circuit-level procedure this task sits under</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TSF</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Tailings storage facility</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WAD 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Weak acid dissociable cyanide</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4  POTENTIAL HAZARDS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700"/>
        <w:gridCol w:w="13138"/>
      </w:tblGrid>
      <w:tr>
        <w:trPr>
          <w:tblHeader/>
        </w:trPr>
        <w:tc>
          <w:tcPr>
            <w:tcW w:type="dxa" w:w="17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Scale</w:t>
            </w:r>
          </w:p>
        </w:tc>
        <w:tc>
          <w:tcPr>
            <w:tcW w:type="dxa" w:w="131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Values</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Probability</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Rare   2 Unlikely   3 Possible   4 Likely   5 Almost certain</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Consequence</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Insignificant   2 Minor   3 Moderate   4 Major   5 Catastrophic</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Risk rank</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Probability x Consequence.   1-4 Low   5-9 Medium   10-14 High   15-25 Extreme. Scored after the controls in the same row are in place.</w:t>
            </w:r>
          </w:p>
        </w:tc>
      </w:tr>
    </w:tbl>
    <w:p>
      <w:pPr>
        <w:spacing w:after="60" w:before="0" w:line="245"/>
      </w:pPr>
    </w:p>
    <w:tbl>
      <w:tblPr>
        <w:tblW w:type="dxa" w:w="14250"/>
        <w:tblBorders>
          <w:top w:val="single" w:color="auto" w:sz="4"/>
          <w:left w:val="single" w:color="auto" w:sz="4"/>
          <w:bottom w:val="single" w:color="auto" w:sz="4"/>
          <w:right w:val="single" w:color="auto" w:sz="4"/>
          <w:insideH w:val="single" w:color="auto" w:sz="4"/>
          <w:insideV w:val="single" w:color="auto" w:sz="4"/>
        </w:tblBorders>
      </w:tblPr>
      <w:tblGrid>
        <w:gridCol w:w="2500"/>
        <w:gridCol w:w="3100"/>
        <w:gridCol w:w="5100"/>
        <w:gridCol w:w="500"/>
        <w:gridCol w:w="500"/>
        <w:gridCol w:w="1350"/>
        <w:gridCol w:w="1200"/>
      </w:tblGrid>
      <w:tr>
        <w:trPr>
          <w:tblHeader/>
        </w:trPr>
        <w:tc>
          <w:tcPr>
            <w:tcW w:type="dxa" w:w="25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Job step</w:t>
            </w:r>
          </w:p>
        </w:tc>
        <w:tc>
          <w:tcPr>
            <w:tcW w:type="dxa" w:w="3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Hazards identified</w:t>
            </w:r>
          </w:p>
        </w:tc>
        <w:tc>
          <w:tcPr>
            <w:tcW w:type="dxa" w:w="5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Controls required</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P</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C</w:t>
            </w:r>
          </w:p>
        </w:tc>
        <w:tc>
          <w:tcPr>
            <w:tcW w:type="dxa" w:w="135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Risk</w:t>
            </w:r>
          </w:p>
        </w:tc>
        <w:tc>
          <w:tcPr>
            <w:tcW w:type="dxa" w:w="1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Actioned by</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1.  Weigh the charge and record the exact mass.</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Non-representative sample leading to a wrong process decision</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2.  Add the standardised acid in the quantity the method states and allow the reaction to complete.</w:t>
            </w:r>
          </w:p>
        </w:tc>
        <w:tc>
          <w:tcPr>
            <w:tcW w:type="dxa" w:w="3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Contact with sulphuric or hydrochloric acid - burn to skin or eyes</w:t>
            </w:r>
          </w:p>
          <w:p>
            <w:pPr>
              <w:spacing w:after="0" w:line="235"/>
            </w:pPr>
            <w:r>
              <w:rPr>
                <w:rFonts w:ascii="Calibri" w:cs="Calibri" w:eastAsia="Calibri" w:hAnsi="Calibri"/>
                <w:sz w:val="15"/>
                <w:szCs w:val="15"/>
              </w:rPr>
              <w:t xml:space="preserve">Inhalation of acid fume or reagent vapour at the bench</w:t>
            </w:r>
          </w:p>
        </w:tc>
        <w:tc>
          <w:tcPr>
            <w:tcW w:type="dxa" w:w="5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Full acid PPE including face shield, acid-resistant gloves, apron and boots. Sample drawn only from the designated sample valve. Add acid to water, never the reverse. Safety shower and eyewash within reach and proven flowing. Spill kit at the point.</w:t>
            </w:r>
          </w:p>
          <w:p>
            <w:pPr>
              <w:spacing w:after="0" w:line="235"/>
            </w:pPr>
            <w:r>
              <w:rPr>
                <w:rFonts w:ascii="Calibri" w:cs="Calibri" w:eastAsia="Calibri" w:hAnsi="Calibri"/>
                <w:sz w:val="15"/>
                <w:szCs w:val="15"/>
              </w:rPr>
              <w:t xml:space="preserve">Work carried out inside the fume cupboard with the sash at the marked working height and the airflow confirmed before starting. Scrubber running and its dosing confirmed. Perchloric work only in the cupboard rated for it, with the washdown routine after every use. No work at an open bench.</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8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3.  Heat as the method directs to drive the reaction, then cool.</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Contact with sulphuric or hydrochloric acid - burn to skin or eyes</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Full acid PPE including face shield, acid-resistant gloves, apron and boots. Sample drawn only from the designated sample valve. Add acid to water, never the reverse. Safety shower and eyewash within reach and proven flowing. Spill kit at the point.</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8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4.  Back-titrate the excess acid with standardised NaOH to the specified endpoint.</w:t>
            </w:r>
          </w:p>
        </w:tc>
        <w:tc>
          <w:tcPr>
            <w:tcW w:type="dxa" w:w="3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Contact with sulphuric or hydrochloric acid - burn to skin or eyes</w:t>
            </w:r>
          </w:p>
          <w:p>
            <w:pPr>
              <w:spacing w:after="30" w:line="235"/>
            </w:pPr>
            <w:r>
              <w:rPr>
                <w:rFonts w:ascii="Calibri" w:cs="Calibri" w:eastAsia="Calibri" w:hAnsi="Calibri"/>
                <w:sz w:val="15"/>
                <w:szCs w:val="15"/>
              </w:rPr>
              <w:t xml:space="preserve">Inhalation of acid fume or reagent vapour at the bench</w:t>
            </w:r>
          </w:p>
          <w:p>
            <w:pPr>
              <w:spacing w:after="0" w:line="235"/>
            </w:pPr>
            <w:r>
              <w:rPr>
                <w:rFonts w:ascii="Calibri" w:cs="Calibri" w:eastAsia="Calibri" w:hAnsi="Calibri"/>
                <w:sz w:val="15"/>
                <w:szCs w:val="15"/>
              </w:rPr>
              <w:t xml:space="preserve">Splash of cyanide-bearing slurry or solution to skin or eyes</w:t>
            </w:r>
          </w:p>
        </w:tc>
        <w:tc>
          <w:tcPr>
            <w:tcW w:type="dxa" w:w="5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Full acid PPE including face shield, acid-resistant gloves, apron and boots. Sample drawn only from the designated sample valve. Add acid to water, never the reverse. Safety shower and eyewash within reach and proven flowing. Spill kit at the point.</w:t>
            </w:r>
          </w:p>
          <w:p>
            <w:pPr>
              <w:spacing w:after="30" w:line="235"/>
            </w:pPr>
            <w:r>
              <w:rPr>
                <w:rFonts w:ascii="Calibri" w:cs="Calibri" w:eastAsia="Calibri" w:hAnsi="Calibri"/>
                <w:sz w:val="15"/>
                <w:szCs w:val="15"/>
              </w:rPr>
              <w:t xml:space="preserve">Work carried out inside the fume cupboard with the sash at the marked working height and the airflow confirmed before starting. Scrubber running and its dosing confirmed. Perchloric work only in the cupboard rated for it, with the washdown routine after every use. No work at an open bench.</w:t>
            </w:r>
          </w:p>
          <w:p>
            <w:pPr>
              <w:spacing w:after="0" w:line="235"/>
            </w:pPr>
            <w:r>
              <w:rPr>
                <w:rFonts w:ascii="Calibri" w:cs="Calibri" w:eastAsia="Calibri" w:hAnsi="Calibri"/>
                <w:sz w:val="15"/>
                <w:szCs w:val="15"/>
              </w:rPr>
              <w:t xml:space="preserve">Sample valve opened slowly with the container positioned first and the body out of the spray path. Face shield, chemical splash goggles, chemical-resistant gloves and apron. Never open a sample valve whose discharge cannot be seen. Safety shower and eyewash proven flowing before the round starts.</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12  HIGH</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5.  Calculate the acid neutralising capacity from the acid consumed.</w:t>
            </w:r>
          </w:p>
        </w:tc>
        <w:tc>
          <w:tcPr>
            <w:tcW w:type="dxa" w:w="3100"/>
            <w:tcMar>
              <w:top w:type="dxa" w:w="55"/>
              <w:left w:type="dxa" w:w="85"/>
              <w:bottom w:type="dxa" w:w="55"/>
              <w:right w:type="dxa" w:w="85"/>
            </w:tcMar>
          </w:tcPr>
          <w:p>
            <w:pPr>
              <w:spacing w:after="30" w:line="235"/>
            </w:pPr>
            <w:r>
              <w:rPr>
                <w:rFonts w:ascii="Calibri" w:cs="Calibri" w:eastAsia="Calibri" w:hAnsi="Calibri"/>
                <w:sz w:val="15"/>
                <w:szCs w:val="15"/>
              </w:rPr>
              <w:t xml:space="preserve">Contact with sulphuric or hydrochloric acid - burn to skin or eyes</w:t>
            </w:r>
          </w:p>
          <w:p>
            <w:pPr>
              <w:spacing w:after="30" w:line="235"/>
            </w:pPr>
            <w:r>
              <w:rPr>
                <w:rFonts w:ascii="Calibri" w:cs="Calibri" w:eastAsia="Calibri" w:hAnsi="Calibri"/>
                <w:sz w:val="15"/>
                <w:szCs w:val="15"/>
              </w:rPr>
              <w:t xml:space="preserve">Inhalation of acid fume or reagent vapour at the bench</w:t>
            </w:r>
          </w:p>
          <w:p>
            <w:pPr>
              <w:spacing w:after="0" w:line="235"/>
            </w:pPr>
            <w:r>
              <w:rPr>
                <w:rFonts w:ascii="Calibri" w:cs="Calibri" w:eastAsia="Calibri" w:hAnsi="Calibri"/>
                <w:sz w:val="15"/>
                <w:szCs w:val="15"/>
              </w:rPr>
              <w:t xml:space="preserve">Non-representative sample leading to a wrong process decision</w:t>
            </w:r>
          </w:p>
        </w:tc>
        <w:tc>
          <w:tcPr>
            <w:tcW w:type="dxa" w:w="5100"/>
            <w:tcMar>
              <w:top w:type="dxa" w:w="55"/>
              <w:left w:type="dxa" w:w="85"/>
              <w:bottom w:type="dxa" w:w="55"/>
              <w:right w:type="dxa" w:w="85"/>
            </w:tcMar>
          </w:tcPr>
          <w:p>
            <w:pPr>
              <w:spacing w:after="30" w:line="235"/>
            </w:pPr>
            <w:r>
              <w:rPr>
                <w:rFonts w:ascii="Calibri" w:cs="Calibri" w:eastAsia="Calibri" w:hAnsi="Calibri"/>
                <w:sz w:val="15"/>
                <w:szCs w:val="15"/>
              </w:rPr>
              <w:t xml:space="preserve">Full acid PPE including face shield, acid-resistant gloves, apron and boots. Sample drawn only from the designated sample valve. Add acid to water, never the reverse. Safety shower and eyewash within reach and proven flowing. Spill kit at the point.</w:t>
            </w:r>
          </w:p>
          <w:p>
            <w:pPr>
              <w:spacing w:after="30" w:line="235"/>
            </w:pPr>
            <w:r>
              <w:rPr>
                <w:rFonts w:ascii="Calibri" w:cs="Calibri" w:eastAsia="Calibri" w:hAnsi="Calibri"/>
                <w:sz w:val="15"/>
                <w:szCs w:val="15"/>
              </w:rPr>
              <w:t xml:space="preserve">Work carried out inside the fume cupboard with the sash at the marked working height and the airflow confirmed before starting. Scrubber running and its dosing confirmed. Perchloric work only in the cupboard rated for it, with the washdown routine after every use. No work at an open bench.</w:t>
            </w:r>
          </w:p>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12  HIGH</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6.  Report alongside the NAG result - the pair is what determines the acid-forming classification.</w:t>
            </w:r>
          </w:p>
        </w:tc>
        <w:tc>
          <w:tcPr>
            <w:tcW w:type="dxa" w:w="3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Contact with sulphuric or hydrochloric acid - burn to skin or eyes</w:t>
            </w:r>
          </w:p>
          <w:p>
            <w:pPr>
              <w:spacing w:after="30" w:line="235"/>
            </w:pPr>
            <w:r>
              <w:rPr>
                <w:rFonts w:ascii="Calibri" w:cs="Calibri" w:eastAsia="Calibri" w:hAnsi="Calibri"/>
                <w:sz w:val="15"/>
                <w:szCs w:val="15"/>
              </w:rPr>
              <w:t xml:space="preserve">Inhalation of acid fume or reagent vapour at the bench</w:t>
            </w:r>
          </w:p>
          <w:p>
            <w:pPr>
              <w:spacing w:after="0" w:line="235"/>
            </w:pPr>
            <w:r>
              <w:rPr>
                <w:rFonts w:ascii="Calibri" w:cs="Calibri" w:eastAsia="Calibri" w:hAnsi="Calibri"/>
                <w:sz w:val="15"/>
                <w:szCs w:val="15"/>
              </w:rPr>
              <w:t xml:space="preserve">Non-representative sample leading to a wrong process decision</w:t>
            </w:r>
          </w:p>
        </w:tc>
        <w:tc>
          <w:tcPr>
            <w:tcW w:type="dxa" w:w="5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Full acid PPE including face shield, acid-resistant gloves, apron and boots. Sample drawn only from the designated sample valve. Add acid to water, never the reverse. Safety shower and eyewash within reach and proven flowing. Spill kit at the point.</w:t>
            </w:r>
          </w:p>
          <w:p>
            <w:pPr>
              <w:spacing w:after="30" w:line="235"/>
            </w:pPr>
            <w:r>
              <w:rPr>
                <w:rFonts w:ascii="Calibri" w:cs="Calibri" w:eastAsia="Calibri" w:hAnsi="Calibri"/>
                <w:sz w:val="15"/>
                <w:szCs w:val="15"/>
              </w:rPr>
              <w:t xml:space="preserve">Work carried out inside the fume cupboard with the sash at the marked working height and the airflow confirmed before starting. Scrubber running and its dosing confirmed. Perchloric work only in the cupboard rated for it, with the washdown routine after every use. No work at an open bench.</w:t>
            </w:r>
          </w:p>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12  HIGH</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7.  Run a blank and a check sample with every batch.</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Non-representative sample leading to a wrong process decision</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5  PPE</w:t>
      </w:r>
    </w:p>
    <w:p>
      <w:pPr>
        <w:spacing w:after="60" w:before="0" w:line="245"/>
      </w:pPr>
      <w:r>
        <w:rPr>
          <w:rFonts w:ascii="Calibri" w:cs="Calibri" w:eastAsia="Calibri" w:hAnsi="Calibri"/>
          <w:sz w:val="17"/>
          <w:szCs w:val="17"/>
        </w:rPr>
        <w:t xml:space="preserve">Standard PPE is worn for all normal operations in the Mt. Morgan gold processing plant. The following is required for this task.</w:t>
      </w:r>
    </w:p>
    <w:p>
      <w:pPr>
        <w:pStyle w:val="ListParagraph"/>
        <w:numPr>
          <w:ilvl w:val="0"/>
          <w:numId w:val="1"/>
        </w:numPr>
        <w:spacing w:after="60" w:line="245"/>
      </w:pPr>
      <w:r>
        <w:rPr>
          <w:rFonts w:ascii="Calibri" w:cs="Calibri" w:eastAsia="Calibri" w:hAnsi="Calibri"/>
          <w:sz w:val="17"/>
          <w:szCs w:val="17"/>
        </w:rPr>
        <w:t xml:space="preserve">Hard hat</w:t>
      </w:r>
    </w:p>
    <w:p>
      <w:pPr>
        <w:pStyle w:val="ListParagraph"/>
        <w:numPr>
          <w:ilvl w:val="0"/>
          <w:numId w:val="1"/>
        </w:numPr>
        <w:spacing w:after="60" w:line="245"/>
      </w:pPr>
      <w:r>
        <w:rPr>
          <w:rFonts w:ascii="Calibri" w:cs="Calibri" w:eastAsia="Calibri" w:hAnsi="Calibri"/>
          <w:sz w:val="17"/>
          <w:szCs w:val="17"/>
        </w:rPr>
        <w:t xml:space="preserve">Safety glasses</w:t>
      </w:r>
    </w:p>
    <w:p>
      <w:pPr>
        <w:pStyle w:val="ListParagraph"/>
        <w:numPr>
          <w:ilvl w:val="0"/>
          <w:numId w:val="1"/>
        </w:numPr>
        <w:spacing w:after="60" w:line="245"/>
      </w:pPr>
      <w:r>
        <w:rPr>
          <w:rFonts w:ascii="Calibri" w:cs="Calibri" w:eastAsia="Calibri" w:hAnsi="Calibri"/>
          <w:sz w:val="17"/>
          <w:szCs w:val="17"/>
        </w:rPr>
        <w:t xml:space="preserve">High-visibility long-sleeved shirt and long trousers</w:t>
      </w:r>
    </w:p>
    <w:p>
      <w:pPr>
        <w:pStyle w:val="ListParagraph"/>
        <w:numPr>
          <w:ilvl w:val="0"/>
          <w:numId w:val="1"/>
        </w:numPr>
        <w:spacing w:after="60" w:line="245"/>
      </w:pPr>
      <w:r>
        <w:rPr>
          <w:rFonts w:ascii="Calibri" w:cs="Calibri" w:eastAsia="Calibri" w:hAnsi="Calibri"/>
          <w:sz w:val="17"/>
          <w:szCs w:val="17"/>
        </w:rPr>
        <w:t xml:space="preserve">Safety boots</w:t>
      </w:r>
    </w:p>
    <w:p>
      <w:pPr>
        <w:pStyle w:val="ListParagraph"/>
        <w:numPr>
          <w:ilvl w:val="0"/>
          <w:numId w:val="1"/>
        </w:numPr>
        <w:spacing w:after="60" w:line="245"/>
      </w:pPr>
      <w:r>
        <w:rPr>
          <w:rFonts w:ascii="Calibri" w:cs="Calibri" w:eastAsia="Calibri" w:hAnsi="Calibri"/>
          <w:sz w:val="17"/>
          <w:szCs w:val="17"/>
        </w:rPr>
        <w:t xml:space="preserve">Gloves appropriate to the task</w:t>
      </w:r>
    </w:p>
    <w:p>
      <w:pPr>
        <w:pStyle w:val="ListParagraph"/>
        <w:numPr>
          <w:ilvl w:val="0"/>
          <w:numId w:val="1"/>
        </w:numPr>
        <w:spacing w:after="60" w:line="245"/>
      </w:pPr>
      <w:r>
        <w:rPr>
          <w:rFonts w:ascii="Calibri" w:cs="Calibri" w:eastAsia="Calibri" w:hAnsi="Calibri"/>
          <w:sz w:val="17"/>
          <w:szCs w:val="17"/>
        </w:rPr>
        <w:t xml:space="preserve">Personal HCN gas monitor, calibrated and in test date</w:t>
      </w:r>
    </w:p>
    <w:p>
      <w:pPr>
        <w:pStyle w:val="ListParagraph"/>
        <w:numPr>
          <w:ilvl w:val="0"/>
          <w:numId w:val="1"/>
        </w:numPr>
        <w:spacing w:after="60" w:line="245"/>
      </w:pPr>
      <w:r>
        <w:rPr>
          <w:rFonts w:ascii="Calibri" w:cs="Calibri" w:eastAsia="Calibri" w:hAnsi="Calibri"/>
          <w:sz w:val="17"/>
          <w:szCs w:val="17"/>
        </w:rPr>
        <w:t xml:space="preserve">Chemical splash goggles and face shield</w:t>
      </w:r>
    </w:p>
    <w:p>
      <w:pPr>
        <w:pStyle w:val="ListParagraph"/>
        <w:numPr>
          <w:ilvl w:val="0"/>
          <w:numId w:val="1"/>
        </w:numPr>
        <w:spacing w:after="60" w:line="245"/>
      </w:pPr>
      <w:r>
        <w:rPr>
          <w:rFonts w:ascii="Calibri" w:cs="Calibri" w:eastAsia="Calibri" w:hAnsi="Calibri"/>
          <w:sz w:val="17"/>
          <w:szCs w:val="17"/>
        </w:rPr>
        <w:t xml:space="preserve">Nitrile rubber gloves</w:t>
      </w:r>
    </w:p>
    <w:p>
      <w:pPr>
        <w:pStyle w:val="ListParagraph"/>
        <w:numPr>
          <w:ilvl w:val="0"/>
          <w:numId w:val="1"/>
        </w:numPr>
        <w:spacing w:after="60" w:line="245"/>
      </w:pPr>
      <w:r>
        <w:rPr>
          <w:rFonts w:ascii="Calibri" w:cs="Calibri" w:eastAsia="Calibri" w:hAnsi="Calibri"/>
          <w:sz w:val="17"/>
          <w:szCs w:val="17"/>
        </w:rPr>
        <w:t xml:space="preserve">Nitrile PVC boots</w:t>
      </w:r>
    </w:p>
    <w:p>
      <w:pPr>
        <w:pStyle w:val="ListParagraph"/>
        <w:numPr>
          <w:ilvl w:val="0"/>
          <w:numId w:val="1"/>
        </w:numPr>
        <w:spacing w:after="60" w:line="245"/>
      </w:pPr>
      <w:r>
        <w:rPr>
          <w:rFonts w:ascii="Calibri" w:cs="Calibri" w:eastAsia="Calibri" w:hAnsi="Calibri"/>
          <w:sz w:val="17"/>
          <w:szCs w:val="17"/>
        </w:rPr>
        <w:t xml:space="preserve">Chemical resistant suit</w:t>
      </w:r>
    </w:p>
    <w:p>
      <w:pPr>
        <w:pStyle w:val="ListParagraph"/>
        <w:numPr>
          <w:ilvl w:val="0"/>
          <w:numId w:val="1"/>
        </w:numPr>
        <w:spacing w:after="60" w:line="245"/>
      </w:pPr>
      <w:r>
        <w:rPr>
          <w:rFonts w:ascii="Calibri" w:cs="Calibri" w:eastAsia="Calibri" w:hAnsi="Calibri"/>
          <w:sz w:val="17"/>
          <w:szCs w:val="17"/>
        </w:rPr>
        <w:t xml:space="preserve">Full or half gas mask with A2B2E2K2P3 cartridge, carried and available for immediate use</w:t>
      </w:r>
    </w:p>
    <w:p>
      <w:pPr>
        <w:pStyle w:val="ListParagraph"/>
        <w:numPr>
          <w:ilvl w:val="0"/>
          <w:numId w:val="1"/>
        </w:numPr>
        <w:spacing w:after="60" w:line="245"/>
      </w:pPr>
      <w:r>
        <w:rPr>
          <w:rFonts w:ascii="Calibri" w:cs="Calibri" w:eastAsia="Calibri" w:hAnsi="Calibri"/>
          <w:sz w:val="17"/>
          <w:szCs w:val="17"/>
        </w:rPr>
        <w:t xml:space="preserve">Acid-resistant gloves, apron and face shield</w:t>
      </w:r>
    </w:p>
    <w:p>
      <w:pPr>
        <w:pStyle w:val="ListParagraph"/>
        <w:numPr>
          <w:ilvl w:val="0"/>
          <w:numId w:val="1"/>
        </w:numPr>
        <w:spacing w:after="60" w:line="245"/>
      </w:pPr>
      <w:r>
        <w:rPr>
          <w:rFonts w:ascii="Calibri" w:cs="Calibri" w:eastAsia="Calibri" w:hAnsi="Calibri"/>
          <w:sz w:val="17"/>
          <w:szCs w:val="17"/>
        </w:rPr>
        <w:t xml:space="preserve">Chemical splash goggles</w:t>
      </w:r>
    </w:p>
    <w:p>
      <w:pPr>
        <w:pStyle w:val="Heading1"/>
        <w:spacing w:after="120" w:before="260"/>
      </w:pPr>
      <w:r>
        <w:rPr>
          <w:rFonts w:ascii="Calibri" w:cs="Calibri" w:eastAsia="Calibri" w:hAnsi="Calibri"/>
          <w:b/>
          <w:bCs/>
          <w:color w:val="1F3864"/>
          <w:sz w:val="24"/>
          <w:szCs w:val="24"/>
        </w:rPr>
        <w:t xml:space="preserve">6  PROCEDURE</w:t>
      </w:r>
    </w:p>
    <w:p>
      <w:pPr>
        <w:spacing w:after="90" w:before="180" w:line="245"/>
        <w:keepNext/>
      </w:pPr>
      <w:r>
        <w:rPr>
          <w:rFonts w:ascii="Calibri" w:cs="Calibri" w:eastAsia="Calibri" w:hAnsi="Calibri"/>
          <w:b/>
          <w:bCs/>
          <w:color w:val="1F3864"/>
          <w:sz w:val="19"/>
          <w:szCs w:val="19"/>
        </w:rPr>
        <w:t xml:space="preserve">6.1  Introduction</w:t>
      </w:r>
    </w:p>
    <w:p>
      <w:pPr>
        <w:spacing w:after="60" w:before="0" w:line="245"/>
      </w:pPr>
      <w:r>
        <w:rPr>
          <w:rFonts w:ascii="Calibri" w:cs="Calibri" w:eastAsia="Calibri" w:hAnsi="Calibri"/>
          <w:b/>
          <w:bCs/>
          <w:sz w:val="17"/>
          <w:szCs w:val="17"/>
        </w:rPr>
        <w:t xml:space="preserve">Warning: many operations on the gold processing plant are automated and equipment may start or stop without warning. It is the operator's responsibility to ensure the safety of all personnel working on the plant at all times.</w:t>
      </w:r>
    </w:p>
    <w:p>
      <w:pPr>
        <w:spacing w:after="60" w:before="0" w:line="245"/>
      </w:pPr>
      <w:r>
        <w:rPr>
          <w:rFonts w:ascii="Calibri" w:cs="Calibri" w:eastAsia="Calibri" w:hAnsi="Calibri"/>
          <w:sz w:val="17"/>
          <w:szCs w:val="17"/>
        </w:rPr>
        <w:t xml:space="preserve">Frequency: Per the environmental sampling schedule.</w:t>
      </w:r>
    </w:p>
    <w:p>
      <w:pPr>
        <w:spacing w:after="90" w:before="180" w:line="245"/>
        <w:keepNext/>
      </w:pPr>
      <w:r>
        <w:rPr>
          <w:rFonts w:ascii="Calibri" w:cs="Calibri" w:eastAsia="Calibri" w:hAnsi="Calibri"/>
          <w:b/>
          <w:bCs/>
          <w:color w:val="1F3864"/>
          <w:sz w:val="19"/>
          <w:szCs w:val="19"/>
        </w:rPr>
        <w:t xml:space="preserve">6.2  Job steps</w:t>
      </w:r>
    </w:p>
    <w:p>
      <w:pPr>
        <w:ind w:left="280"/>
        <w:spacing w:after="50" w:before="0" w:line="245"/>
      </w:pPr>
      <w:r>
        <w:rPr>
          <w:rFonts w:ascii="Calibri" w:cs="Calibri" w:eastAsia="Calibri" w:hAnsi="Calibri"/>
          <w:b/>
          <w:bCs/>
          <w:sz w:val="17"/>
          <w:szCs w:val="17"/>
        </w:rPr>
        <w:t xml:space="preserve">1.</w:t>
      </w:r>
      <w:r>
        <w:rPr>
          <w:rFonts w:ascii="Calibri" w:cs="Calibri" w:eastAsia="Calibri" w:hAnsi="Calibri"/>
          <w:sz w:val="17"/>
          <w:szCs w:val="17"/>
        </w:rPr>
        <w:t xml:space="preserve">  Weigh the charge and record the exact mass.</w:t>
      </w:r>
    </w:p>
    <w:p>
      <w:pPr>
        <w:ind w:left="280"/>
        <w:spacing w:after="50" w:before="0" w:line="245"/>
      </w:pPr>
      <w:r>
        <w:rPr>
          <w:rFonts w:ascii="Calibri" w:cs="Calibri" w:eastAsia="Calibri" w:hAnsi="Calibri"/>
          <w:b/>
          <w:bCs/>
          <w:sz w:val="17"/>
          <w:szCs w:val="17"/>
        </w:rPr>
        <w:t xml:space="preserve">2.</w:t>
      </w:r>
      <w:r>
        <w:rPr>
          <w:rFonts w:ascii="Calibri" w:cs="Calibri" w:eastAsia="Calibri" w:hAnsi="Calibri"/>
          <w:sz w:val="17"/>
          <w:szCs w:val="17"/>
        </w:rPr>
        <w:t xml:space="preserve">  Add the standardised acid in the quantity the method states and allow the reaction to complete.</w:t>
      </w:r>
    </w:p>
    <w:p>
      <w:pPr>
        <w:ind w:left="280"/>
        <w:spacing w:after="50" w:before="0" w:line="245"/>
      </w:pPr>
      <w:r>
        <w:rPr>
          <w:rFonts w:ascii="Calibri" w:cs="Calibri" w:eastAsia="Calibri" w:hAnsi="Calibri"/>
          <w:b/>
          <w:bCs/>
          <w:sz w:val="17"/>
          <w:szCs w:val="17"/>
        </w:rPr>
        <w:t xml:space="preserve">3.</w:t>
      </w:r>
      <w:r>
        <w:rPr>
          <w:rFonts w:ascii="Calibri" w:cs="Calibri" w:eastAsia="Calibri" w:hAnsi="Calibri"/>
          <w:sz w:val="17"/>
          <w:szCs w:val="17"/>
        </w:rPr>
        <w:t xml:space="preserve">  Heat as the method directs to drive the reaction, then cool.</w:t>
      </w:r>
    </w:p>
    <w:p>
      <w:pPr>
        <w:ind w:left="280"/>
        <w:spacing w:after="50" w:before="0" w:line="245"/>
      </w:pPr>
      <w:r>
        <w:rPr>
          <w:rFonts w:ascii="Calibri" w:cs="Calibri" w:eastAsia="Calibri" w:hAnsi="Calibri"/>
          <w:b/>
          <w:bCs/>
          <w:sz w:val="17"/>
          <w:szCs w:val="17"/>
        </w:rPr>
        <w:t xml:space="preserve">4.</w:t>
      </w:r>
      <w:r>
        <w:rPr>
          <w:rFonts w:ascii="Calibri" w:cs="Calibri" w:eastAsia="Calibri" w:hAnsi="Calibri"/>
          <w:sz w:val="17"/>
          <w:szCs w:val="17"/>
        </w:rPr>
        <w:t xml:space="preserve">  Back-titrate the excess acid with standardised NaOH to the specified endpoint.</w:t>
      </w:r>
    </w:p>
    <w:p>
      <w:pPr>
        <w:ind w:left="280"/>
        <w:spacing w:after="50" w:before="0" w:line="245"/>
      </w:pPr>
      <w:r>
        <w:rPr>
          <w:rFonts w:ascii="Calibri" w:cs="Calibri" w:eastAsia="Calibri" w:hAnsi="Calibri"/>
          <w:b/>
          <w:bCs/>
          <w:sz w:val="17"/>
          <w:szCs w:val="17"/>
        </w:rPr>
        <w:t xml:space="preserve">5.</w:t>
      </w:r>
      <w:r>
        <w:rPr>
          <w:rFonts w:ascii="Calibri" w:cs="Calibri" w:eastAsia="Calibri" w:hAnsi="Calibri"/>
          <w:sz w:val="17"/>
          <w:szCs w:val="17"/>
        </w:rPr>
        <w:t xml:space="preserve">  Calculate the acid neutralising capacity from the acid consumed.</w:t>
      </w:r>
    </w:p>
    <w:p>
      <w:pPr>
        <w:ind w:left="280"/>
        <w:spacing w:after="50" w:before="0" w:line="245"/>
      </w:pPr>
      <w:r>
        <w:rPr>
          <w:rFonts w:ascii="Calibri" w:cs="Calibri" w:eastAsia="Calibri" w:hAnsi="Calibri"/>
          <w:b/>
          <w:bCs/>
          <w:sz w:val="17"/>
          <w:szCs w:val="17"/>
        </w:rPr>
        <w:t xml:space="preserve">6.</w:t>
      </w:r>
      <w:r>
        <w:rPr>
          <w:rFonts w:ascii="Calibri" w:cs="Calibri" w:eastAsia="Calibri" w:hAnsi="Calibri"/>
          <w:sz w:val="17"/>
          <w:szCs w:val="17"/>
        </w:rPr>
        <w:t xml:space="preserve">  Report alongside the NAG result - the pair is what determines the acid-forming classification.</w:t>
      </w:r>
    </w:p>
    <w:p>
      <w:pPr>
        <w:ind w:left="280"/>
        <w:spacing w:after="50" w:before="0" w:line="245"/>
      </w:pPr>
      <w:r>
        <w:rPr>
          <w:rFonts w:ascii="Calibri" w:cs="Calibri" w:eastAsia="Calibri" w:hAnsi="Calibri"/>
          <w:b/>
          <w:bCs/>
          <w:sz w:val="17"/>
          <w:szCs w:val="17"/>
        </w:rPr>
        <w:t xml:space="preserve">7.</w:t>
      </w:r>
      <w:r>
        <w:rPr>
          <w:rFonts w:ascii="Calibri" w:cs="Calibri" w:eastAsia="Calibri" w:hAnsi="Calibri"/>
          <w:sz w:val="17"/>
          <w:szCs w:val="17"/>
        </w:rPr>
        <w:t xml:space="preserve">  Run a blank and a check sample with every batch.</w:t>
      </w:r>
    </w:p>
    <w:p>
      <w:pPr>
        <w:spacing w:after="60" w:before="0" w:line="245"/>
      </w:pPr>
      <w:r>
        <w:rPr>
          <w:rFonts w:ascii="Calibri" w:cs="Calibri" w:eastAsia="Calibri" w:hAnsi="Calibri"/>
          <w:sz w:val="17"/>
          <w:szCs w:val="17"/>
        </w:rPr>
        <w:t xml:space="preserve">Equipment required:</w:t>
      </w:r>
    </w:p>
    <w:p>
      <w:pPr>
        <w:pStyle w:val="ListParagraph"/>
        <w:numPr>
          <w:ilvl w:val="0"/>
          <w:numId w:val="1"/>
        </w:numPr>
        <w:spacing w:after="60" w:line="245"/>
      </w:pPr>
      <w:r>
        <w:rPr>
          <w:rFonts w:ascii="Calibri" w:cs="Calibri" w:eastAsia="Calibri" w:hAnsi="Calibri"/>
          <w:sz w:val="17"/>
          <w:szCs w:val="17"/>
        </w:rPr>
        <w:t xml:space="preserve">Hanna HI902C titrator</w:t>
      </w:r>
    </w:p>
    <w:p>
      <w:pPr>
        <w:pStyle w:val="ListParagraph"/>
        <w:numPr>
          <w:ilvl w:val="0"/>
          <w:numId w:val="1"/>
        </w:numPr>
        <w:spacing w:after="60" w:line="245"/>
      </w:pPr>
      <w:r>
        <w:rPr>
          <w:rFonts w:ascii="Calibri" w:cs="Calibri" w:eastAsia="Calibri" w:hAnsi="Calibri"/>
          <w:sz w:val="17"/>
          <w:szCs w:val="17"/>
        </w:rPr>
        <w:t xml:space="preserve">Standardised acid and NaOH</w:t>
      </w:r>
    </w:p>
    <w:p>
      <w:pPr>
        <w:pStyle w:val="ListParagraph"/>
        <w:numPr>
          <w:ilvl w:val="0"/>
          <w:numId w:val="1"/>
        </w:numPr>
        <w:spacing w:after="60" w:line="245"/>
      </w:pPr>
      <w:r>
        <w:rPr>
          <w:rFonts w:ascii="Calibri" w:cs="Calibri" w:eastAsia="Calibri" w:hAnsi="Calibri"/>
          <w:sz w:val="17"/>
          <w:szCs w:val="17"/>
        </w:rPr>
        <w:t xml:space="preserve">Conical flasks</w:t>
      </w:r>
    </w:p>
    <w:p>
      <w:pPr>
        <w:pStyle w:val="ListParagraph"/>
        <w:numPr>
          <w:ilvl w:val="0"/>
          <w:numId w:val="1"/>
        </w:numPr>
        <w:spacing w:after="60" w:line="245"/>
      </w:pPr>
      <w:r>
        <w:rPr>
          <w:rFonts w:ascii="Calibri" w:cs="Calibri" w:eastAsia="Calibri" w:hAnsi="Calibri"/>
          <w:sz w:val="17"/>
          <w:szCs w:val="17"/>
        </w:rPr>
        <w:t xml:space="preserve">Balance</w:t>
      </w:r>
    </w:p>
    <w:p>
      <w:pPr>
        <w:pStyle w:val="ListParagraph"/>
        <w:numPr>
          <w:ilvl w:val="0"/>
          <w:numId w:val="1"/>
        </w:numPr>
        <w:spacing w:after="60" w:line="245"/>
      </w:pPr>
      <w:r>
        <w:rPr>
          <w:rFonts w:ascii="Calibri" w:cs="Calibri" w:eastAsia="Calibri" w:hAnsi="Calibri"/>
          <w:sz w:val="17"/>
          <w:szCs w:val="17"/>
        </w:rPr>
        <w:t xml:space="preserve">Hotplate</w:t>
      </w:r>
    </w:p>
    <w:p>
      <w:pPr>
        <w:pStyle w:val="ListParagraph"/>
        <w:numPr>
          <w:ilvl w:val="0"/>
          <w:numId w:val="1"/>
        </w:numPr>
        <w:spacing w:after="60" w:line="245"/>
      </w:pPr>
      <w:r>
        <w:rPr>
          <w:rFonts w:ascii="Calibri" w:cs="Calibri" w:eastAsia="Calibri" w:hAnsi="Calibri"/>
          <w:sz w:val="17"/>
          <w:szCs w:val="17"/>
        </w:rPr>
        <w:t xml:space="preserve">pH meter</w:t>
      </w:r>
    </w:p>
    <w:p>
      <w:pPr>
        <w:pStyle w:val="Heading1"/>
        <w:spacing w:after="120" w:before="260"/>
      </w:pPr>
      <w:r>
        <w:rPr>
          <w:rFonts w:ascii="Calibri" w:cs="Calibri" w:eastAsia="Calibri" w:hAnsi="Calibri"/>
          <w:b/>
          <w:bCs/>
          <w:color w:val="1F3864"/>
          <w:sz w:val="24"/>
          <w:szCs w:val="24"/>
        </w:rPr>
        <w:t xml:space="preserve">7  FLOWCHART</w:t>
      </w:r>
    </w:p>
    <w:p>
      <w:pPr>
        <w:spacing w:after="60" w:before="0" w:line="245"/>
      </w:pPr>
      <w:r>
        <w:rPr>
          <w:rFonts w:ascii="Calibri" w:cs="Calibri" w:eastAsia="Calibri" w:hAnsi="Calibri"/>
          <w:sz w:val="17"/>
          <w:szCs w:val="17"/>
        </w:rPr>
        <w:t xml:space="preserve">Not reproduced in this document. The step sequence is in work instruction SWI-PRO-LAB-304-017 Section 6, which is the controlled version of the method.</w:t>
      </w:r>
    </w:p>
    <w:p>
      <w:pPr>
        <w:pStyle w:val="Heading1"/>
        <w:spacing w:after="120" w:before="260"/>
      </w:pPr>
      <w:r>
        <w:rPr>
          <w:rFonts w:ascii="Calibri" w:cs="Calibri" w:eastAsia="Calibri" w:hAnsi="Calibri"/>
          <w:b/>
          <w:bCs/>
          <w:color w:val="1F3864"/>
          <w:sz w:val="24"/>
          <w:szCs w:val="24"/>
        </w:rPr>
        <w:t xml:space="preserve">8  TRAINING</w:t>
      </w:r>
    </w:p>
    <w:p>
      <w:pPr>
        <w:spacing w:after="60" w:before="0" w:line="245"/>
      </w:pPr>
      <w:r>
        <w:rPr>
          <w:rFonts w:ascii="Calibri" w:cs="Calibri" w:eastAsia="Calibri" w:hAnsi="Calibri"/>
          <w:sz w:val="17"/>
          <w:szCs w:val="17"/>
        </w:rPr>
        <w:t xml:space="preserve">Every person carrying out this task has been through this JSEA at a communication session recorded on the sign-on sheet at the end of this document, and is trained and signed off against work instruction SWI-PRO-LAB-304-017.</w:t>
      </w:r>
    </w:p>
    <w:p>
      <w:pPr>
        <w:pStyle w:val="ListParagraph"/>
        <w:numPr>
          <w:ilvl w:val="0"/>
          <w:numId w:val="1"/>
        </w:numPr>
        <w:spacing w:after="60" w:line="245"/>
      </w:pPr>
      <w:r>
        <w:rPr>
          <w:rFonts w:ascii="Calibri" w:cs="Calibri" w:eastAsia="Calibri" w:hAnsi="Calibri"/>
          <w:sz w:val="17"/>
          <w:szCs w:val="17"/>
        </w:rPr>
        <w:t xml:space="preserve">Site induction, current.</w:t>
      </w:r>
    </w:p>
    <w:p>
      <w:pPr>
        <w:pStyle w:val="ListParagraph"/>
        <w:numPr>
          <w:ilvl w:val="0"/>
          <w:numId w:val="1"/>
        </w:numPr>
        <w:spacing w:after="60" w:line="245"/>
      </w:pPr>
      <w:r>
        <w:rPr>
          <w:rFonts w:ascii="Calibri" w:cs="Calibri" w:eastAsia="Calibri" w:hAnsi="Calibri"/>
          <w:sz w:val="17"/>
          <w:szCs w:val="17"/>
        </w:rPr>
        <w:t xml:space="preserve">Cyanide awareness and gas detection competency where the area requires it.</w:t>
      </w:r>
    </w:p>
    <w:p>
      <w:pPr>
        <w:pStyle w:val="ListParagraph"/>
        <w:numPr>
          <w:ilvl w:val="0"/>
          <w:numId w:val="1"/>
        </w:numPr>
        <w:spacing w:after="60" w:line="245"/>
      </w:pPr>
      <w:r>
        <w:rPr>
          <w:rFonts w:ascii="Calibri" w:cs="Calibri" w:eastAsia="Calibri" w:hAnsi="Calibri"/>
          <w:sz w:val="17"/>
          <w:szCs w:val="17"/>
        </w:rPr>
        <w:t xml:space="preserve">Working at height competency where the task requires it.</w:t>
      </w:r>
    </w:p>
    <w:p>
      <w:pPr>
        <w:pStyle w:val="ListParagraph"/>
        <w:numPr>
          <w:ilvl w:val="0"/>
          <w:numId w:val="1"/>
        </w:numPr>
        <w:spacing w:after="60" w:line="245"/>
      </w:pPr>
      <w:r>
        <w:rPr>
          <w:rFonts w:ascii="Calibri" w:cs="Calibri" w:eastAsia="Calibri" w:hAnsi="Calibri"/>
          <w:sz w:val="17"/>
          <w:szCs w:val="17"/>
        </w:rPr>
        <w:t xml:space="preserve">Competency in the determinations and calculations carried out in this task.</w:t>
      </w:r>
    </w:p>
    <w:p>
      <w:pPr>
        <w:pStyle w:val="Heading1"/>
        <w:spacing w:after="120" w:before="260"/>
      </w:pPr>
      <w:r>
        <w:rPr>
          <w:rFonts w:ascii="Calibri" w:cs="Calibri" w:eastAsia="Calibri" w:hAnsi="Calibri"/>
          <w:b/>
          <w:bCs/>
          <w:color w:val="1F3864"/>
          <w:sz w:val="24"/>
          <w:szCs w:val="24"/>
        </w:rPr>
        <w:t xml:space="preserve">9  REFERENCE</w:t>
      </w:r>
    </w:p>
    <w:p>
      <w:pPr>
        <w:pStyle w:val="ListParagraph"/>
        <w:numPr>
          <w:ilvl w:val="0"/>
          <w:numId w:val="1"/>
        </w:numPr>
        <w:spacing w:after="60" w:line="245"/>
      </w:pPr>
      <w:r>
        <w:rPr>
          <w:rFonts w:ascii="Calibri" w:cs="Calibri" w:eastAsia="Calibri" w:hAnsi="Calibri"/>
          <w:sz w:val="17"/>
          <w:szCs w:val="17"/>
        </w:rPr>
        <w:t xml:space="preserve">KBK-MIR-LAB-ENV-SOP-079; the HI902C titrator suits acid-base titration</w:t>
      </w:r>
    </w:p>
    <w:p>
      <w:pPr>
        <w:pStyle w:val="ListParagraph"/>
        <w:numPr>
          <w:ilvl w:val="0"/>
          <w:numId w:val="1"/>
        </w:numPr>
        <w:spacing w:after="60" w:line="245"/>
      </w:pPr>
      <w:r>
        <w:rPr>
          <w:rFonts w:ascii="Calibri" w:cs="Calibri" w:eastAsia="Calibri" w:hAnsi="Calibri"/>
          <w:sz w:val="17"/>
          <w:szCs w:val="17"/>
        </w:rPr>
        <w:t xml:space="preserve">Heritage register line JSEA-PRO-LAB-304-017, tab JSEA_LAB / SWI-LAB</w:t>
      </w:r>
    </w:p>
    <w:p>
      <w:pPr>
        <w:pStyle w:val="Heading1"/>
        <w:spacing w:after="120" w:before="260"/>
      </w:pPr>
      <w:r>
        <w:rPr>
          <w:rFonts w:ascii="Calibri" w:cs="Calibri" w:eastAsia="Calibri" w:hAnsi="Calibri"/>
          <w:b/>
          <w:bCs/>
          <w:color w:val="1F3864"/>
          <w:sz w:val="24"/>
          <w:szCs w:val="24"/>
        </w:rPr>
        <w:t xml:space="preserve">10  REVIEW</w:t>
      </w:r>
    </w:p>
    <w:p>
      <w:pPr>
        <w:spacing w:after="60" w:before="0" w:line="245"/>
      </w:pPr>
      <w:r>
        <w:rPr>
          <w:rFonts w:ascii="Calibri" w:cs="Calibri" w:eastAsia="Calibri" w:hAnsi="Calibri"/>
          <w:sz w:val="17"/>
          <w:szCs w:val="17"/>
        </w:rPr>
        <w:t xml:space="preserve">This JSEA is reviewed every 12 months, and immediately after any incident, near miss, plant change or change to the schedule affecting this task.</w:t>
      </w:r>
    </w:p>
    <w:p>
      <w:r>
        <w:br w:type="page"/>
      </w:r>
    </w:p>
    <w:p>
      <w:pPr>
        <w:pStyle w:val="Heading1"/>
        <w:spacing w:after="120" w:before="260"/>
      </w:pPr>
      <w:r>
        <w:rPr>
          <w:rFonts w:ascii="Calibri" w:cs="Calibri" w:eastAsia="Calibri" w:hAnsi="Calibri"/>
          <w:b/>
          <w:bCs/>
          <w:color w:val="1F3864"/>
          <w:sz w:val="24"/>
          <w:szCs w:val="24"/>
        </w:rPr>
        <w:t xml:space="preserve">JSEA COMMUNICATION AND AWARENESS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Presented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JSEA reference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JSEA-PRO-LAB-304-017</w:t>
            </w:r>
          </w:p>
        </w:tc>
      </w:tr>
    </w:tbl>
    <w:p>
      <w:pPr>
        <w:spacing w:after="100" w:before="0" w:line="245"/>
      </w:pP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4200"/>
        <w:gridCol w:w="3600"/>
        <w:gridCol w:w="3200"/>
        <w:gridCol w:w="3838"/>
      </w:tblGrid>
      <w:tr>
        <w:trPr>
          <w:tblHeader/>
        </w:trPr>
        <w:tc>
          <w:tcPr>
            <w:tcW w:type="dxa" w:w="4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Name</w:t>
            </w:r>
          </w:p>
        </w:tc>
        <w:tc>
          <w:tcPr>
            <w:tcW w:type="dxa" w:w="3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Position</w:t>
            </w:r>
          </w:p>
        </w:tc>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Department</w:t>
            </w:r>
          </w:p>
        </w:tc>
        <w:tc>
          <w:tcPr>
            <w:tcW w:type="dxa" w:w="3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Signature</w:t>
            </w: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bl>
    <w:p>
      <w:pPr>
        <w:spacing w:after="60" w:before="0" w:line="245"/>
      </w:pPr>
    </w:p>
    <w:sectPr>
      <w:headerReference w:type="default" r:id="rId7"/>
      <w:footerReference w:type="default" r:id="rId8"/>
      <w:pgSz w:w="16838" w:h="11906" w:orient="landscape"/>
      <w:pgMar w:top="10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5"/>
        <w:szCs w:val="15"/>
      </w:rPr>
      <w:t xml:space="preserve">Page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of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sz="4" w:space="2" w:color="D7DEE9"/>
      </w:pBdr>
      <w:spacing w:after="0" w:line="240"/>
    </w:pPr>
    <w:r>
      <w:rPr>
        <w:rFonts w:ascii="Calibri" w:cs="Calibri" w:eastAsia="Calibri" w:hAnsi="Calibri"/>
        <w:color w:val="555555"/>
        <w:sz w:val="15"/>
        <w:szCs w:val="15"/>
      </w:rPr>
      <w:t xml:space="preserve">JSEA-PRO-LAB-304-017  ·  Acid Neutralising Capacity Determination  ·  Rev 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2026-08-09T12:17:56.406Z</dcterms:created>
  <dcterms:modified xsi:type="dcterms:W3CDTF">2026-08-09T12:17:56.406Z</dcterms:modified>
</cp:coreProperties>
</file>

<file path=docProps/custom.xml><?xml version="1.0" encoding="utf-8"?>
<Properties xmlns="http://schemas.openxmlformats.org/officeDocument/2006/custom-properties" xmlns:vt="http://schemas.openxmlformats.org/officeDocument/2006/docPropsVTypes"/>
</file>