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Preparation of Hydrogen Peroxide 15% Solution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JSEA-PRO-LAB-304-021</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SWI-PRO-LAB-304-021  Preparation of Hydrogen Peroxide 15% Solution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HM-PRC-VXX-PRO215  Laboratory Environmental and Cyanide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304  Environmental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JSEA-PRO-LAB-304-021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preparation of hydrogen peroxide 15% solution in 304  Environmental Analysis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Prepare the hydrogen peroxide 15 per cent solution.</w:t>
      </w:r>
    </w:p>
    <w:p>
      <w:pPr>
        <w:spacing w:after="60" w:before="0" w:line="245"/>
      </w:pPr>
      <w:r>
        <w:rPr>
          <w:rFonts w:ascii="Calibri" w:cs="Calibri" w:eastAsia="Calibri" w:hAnsi="Calibri"/>
          <w:sz w:val="17"/>
          <w:szCs w:val="17"/>
        </w:rPr>
        <w:t xml:space="preserve">It is read with work instruction SWI-PRO-LAB-304-021, which gives the step-by-step method, and with HM-PRC-VXX-PRO215 Laboratory Environmental and Cyanide Analysis,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Work in the fume cupboard with the airflow confirmed.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Check the balance verification is current, and that every reagent to be used is in date and correctly labelled.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Weigh or measure the reagent as the method requires and record the exact quantity.</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Add the concentrated peroxide to water slowly, in the fume cupboard. Concentrated peroxide is a severe skin and eye hazard and an oxidiser - keep it away from all organics.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Inhalation of acid fume or reagent vapour at the bench</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Make up to the mark in a volumetric flask at the reference temperature.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Mix thoroughly by inversion, not by shaking, so no material is left on the neck.</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Label the container immediately with the identity, concentration, preparation date, expiry and the preparer's initials. An unlabelled solution is discarded, not guessed at.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Record the preparation in the solution register, and standardise it against a primary standard where the method calls for it.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9.  Store as the method requires - cool, dark and vented - peroxide decomposes and pressurises a sealed container.</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Release from a pressurised sample line, hose or fitting</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As the solution register requires.</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Work in the fume cupboard with the airflow confirmed.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Check the balance verification is current, and that every reagent to be used is in date and correctly labelled.</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Weigh or measure the reagent as the method requires and record the exact quantity.</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Add the concentrated peroxide to water slowly, in the fume cupboard. Concentrated peroxide is a severe skin and eye hazard and an oxidiser - keep it away from all organics.</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Make up to the mark in a volumetric flask at the reference temperature.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Mix thoroughly by inversion, not by shaking, so no material is left on the neck.</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Label the container immediately with the identity, concentration, preparation date, expiry and the preparer's initials. An unlabelled solution is discarded, not guessed at.</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the preparation in the solution register, and standardise it against a primary standard where the method calls for it.</w:t>
      </w:r>
    </w:p>
    <w:p>
      <w:pPr>
        <w:ind w:left="280"/>
        <w:spacing w:after="50" w:before="0" w:line="245"/>
      </w:pPr>
      <w:r>
        <w:rPr>
          <w:rFonts w:ascii="Calibri" w:cs="Calibri" w:eastAsia="Calibri" w:hAnsi="Calibri"/>
          <w:b/>
          <w:bCs/>
          <w:sz w:val="17"/>
          <w:szCs w:val="17"/>
        </w:rPr>
        <w:t xml:space="preserve">9.</w:t>
      </w:r>
      <w:r>
        <w:rPr>
          <w:rFonts w:ascii="Calibri" w:cs="Calibri" w:eastAsia="Calibri" w:hAnsi="Calibri"/>
          <w:sz w:val="17"/>
          <w:szCs w:val="17"/>
        </w:rPr>
        <w:t xml:space="preserve">  Store as the method requires - cool, dark and vented - peroxide decomposes and pressurises a sealed container.</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Fume cupboard</w:t>
      </w:r>
    </w:p>
    <w:p>
      <w:pPr>
        <w:pStyle w:val="ListParagraph"/>
        <w:numPr>
          <w:ilvl w:val="0"/>
          <w:numId w:val="1"/>
        </w:numPr>
        <w:spacing w:after="60" w:line="245"/>
      </w:pPr>
      <w:r>
        <w:rPr>
          <w:rFonts w:ascii="Calibri" w:cs="Calibri" w:eastAsia="Calibri" w:hAnsi="Calibri"/>
          <w:sz w:val="17"/>
          <w:szCs w:val="17"/>
        </w:rPr>
        <w:t xml:space="preserve">Volumetric glassware</w:t>
      </w:r>
    </w:p>
    <w:p>
      <w:pPr>
        <w:pStyle w:val="ListParagraph"/>
        <w:numPr>
          <w:ilvl w:val="0"/>
          <w:numId w:val="1"/>
        </w:numPr>
        <w:spacing w:after="60" w:line="245"/>
      </w:pPr>
      <w:r>
        <w:rPr>
          <w:rFonts w:ascii="Calibri" w:cs="Calibri" w:eastAsia="Calibri" w:hAnsi="Calibri"/>
          <w:sz w:val="17"/>
          <w:szCs w:val="17"/>
        </w:rPr>
        <w:t xml:space="preserve">Concentrated hydrogen peroxide</w:t>
      </w:r>
    </w:p>
    <w:p>
      <w:pPr>
        <w:pStyle w:val="ListParagraph"/>
        <w:numPr>
          <w:ilvl w:val="0"/>
          <w:numId w:val="1"/>
        </w:numPr>
        <w:spacing w:after="60" w:line="245"/>
      </w:pPr>
      <w:r>
        <w:rPr>
          <w:rFonts w:ascii="Calibri" w:cs="Calibri" w:eastAsia="Calibri" w:hAnsi="Calibri"/>
          <w:sz w:val="17"/>
          <w:szCs w:val="17"/>
        </w:rPr>
        <w:t xml:space="preserve">Acid PPE</w:t>
      </w:r>
    </w:p>
    <w:p>
      <w:pPr>
        <w:pStyle w:val="ListParagraph"/>
        <w:numPr>
          <w:ilvl w:val="0"/>
          <w:numId w:val="1"/>
        </w:numPr>
        <w:spacing w:after="60" w:line="245"/>
      </w:pPr>
      <w:r>
        <w:rPr>
          <w:rFonts w:ascii="Calibri" w:cs="Calibri" w:eastAsia="Calibri" w:hAnsi="Calibri"/>
          <w:sz w:val="17"/>
          <w:szCs w:val="17"/>
        </w:rPr>
        <w:t xml:space="preserve">Labels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SWI-PRO-LAB-304-021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SWI-PRO-LAB-304-021.</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KBK-MIR-LAB-ENV-SOP-073 Larutan hidrogen peroksida 15%</w:t>
      </w:r>
    </w:p>
    <w:p>
      <w:pPr>
        <w:pStyle w:val="ListParagraph"/>
        <w:numPr>
          <w:ilvl w:val="0"/>
          <w:numId w:val="1"/>
        </w:numPr>
        <w:spacing w:after="60" w:line="245"/>
      </w:pPr>
      <w:r>
        <w:rPr>
          <w:rFonts w:ascii="Calibri" w:cs="Calibri" w:eastAsia="Calibri" w:hAnsi="Calibri"/>
          <w:sz w:val="17"/>
          <w:szCs w:val="17"/>
        </w:rPr>
        <w:t xml:space="preserve">Heritage register line JSEA-PRO-LAB-304-021,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JSEA-PRO-LAB-304-021</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JSEA-PRO-LAB-304-021  ·  Preparation of Hydrogen Peroxide 15% Solution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