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Preparation of Magnesium Chloride 2.5 M Solution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JSEA-PRO-LAB-304-022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SWI-PRO-LAB-304-022  Preparation of Magnesium Chloride 2.5 M Solution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JSEA-PRO-LAB-304-022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preparation of magnesium chloride 2.5 m solution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Prepare the magnesium chloride 2.5 M solution.</w:t>
      </w:r>
    </w:p>
    <w:p>
      <w:pPr>
        <w:spacing w:after="60" w:before="0" w:line="245"/>
      </w:pPr>
      <w:r>
        <w:rPr>
          <w:rFonts w:ascii="Calibri" w:cs="Calibri" w:eastAsia="Calibri" w:hAnsi="Calibri"/>
          <w:sz w:val="17"/>
          <w:szCs w:val="17"/>
        </w:rPr>
        <w:t xml:space="preserve">It is read with work instruction SWI-PRO-LAB-304-022,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Work in the fume cupboard with the airflow confirmed.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Check the balance verification is current, and that every reagent to be used is in date and correctly labelled.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Weigh or measure the reagent as the method requires and record the exact quantity.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Dissolve with stirring in part of the water before making to volume. The dissolution is exothermic - allow it to cool to the reference temperature before making to the mark.</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Make up to the mark in a volumetric flask at the reference temperature.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Mix thoroughly by inversion, not by shaking, so no material is left on the neck.</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Label the container immediately with the identity, concentration, preparation date, expiry and the preparer's initials. An unlabelled solution is discarded, not guessed at.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preparation in the solution register, and standardise it against a primary standard where the method calls for it.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9.  Store as the method requires - at room temperature.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As the solution register requires.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in the fume cupboard with the airflow confirmed.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Check the balance verification is current, and that every reagent to be used is in date and correctly labelled.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Weigh or measure the reagent as the method requires and record the exact quantity.</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Dissolve with stirring in part of the water before making to volume. The dissolution is exothermic - allow it to cool to the reference temperature before making to the mark.</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Make up to the mark in a volumetric flask at the reference temperature.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Mix thoroughly by inversion, not by shaking, so no material is left on the neck.</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Label the container immediately with the identity, concentration, preparation date, expiry and the preparer's initials. An unlabelled solution is discarded, not guessed at.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preparation in the solution register, and standardise it against a primary standard where the method calls for it.</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Store as the method requires - at room temperature.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Volumetric glassware</w:t>
      </w:r>
    </w:p>
    <w:p>
      <w:pPr>
        <w:pStyle w:val="ListParagraph"/>
        <w:numPr>
          <w:ilvl w:val="0"/>
          <w:numId w:val="1"/>
        </w:numPr>
        <w:spacing w:after="60" w:line="245"/>
      </w:pPr>
      <w:r>
        <w:rPr>
          <w:rFonts w:ascii="Calibri" w:cs="Calibri" w:eastAsia="Calibri" w:hAnsi="Calibri"/>
          <w:sz w:val="17"/>
          <w:szCs w:val="17"/>
        </w:rPr>
        <w:t xml:space="preserve">Magnesium chloride</w:t>
      </w:r>
    </w:p>
    <w:p>
      <w:pPr>
        <w:pStyle w:val="ListParagraph"/>
        <w:numPr>
          <w:ilvl w:val="0"/>
          <w:numId w:val="1"/>
        </w:numPr>
        <w:spacing w:after="60" w:line="245"/>
      </w:pPr>
      <w:r>
        <w:rPr>
          <w:rFonts w:ascii="Calibri" w:cs="Calibri" w:eastAsia="Calibri" w:hAnsi="Calibri"/>
          <w:sz w:val="17"/>
          <w:szCs w:val="17"/>
        </w:rPr>
        <w:t xml:space="preserve">Distilled or RO/DI water</w:t>
      </w:r>
    </w:p>
    <w:p>
      <w:pPr>
        <w:pStyle w:val="ListParagraph"/>
        <w:numPr>
          <w:ilvl w:val="0"/>
          <w:numId w:val="1"/>
        </w:numPr>
        <w:spacing w:after="60" w:line="245"/>
      </w:pPr>
      <w:r>
        <w:rPr>
          <w:rFonts w:ascii="Calibri" w:cs="Calibri" w:eastAsia="Calibri" w:hAnsi="Calibri"/>
          <w:sz w:val="17"/>
          <w:szCs w:val="17"/>
        </w:rPr>
        <w:t xml:space="preserve">Labels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SWI-PRO-LAB-304-022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SWI-PRO-LAB-304-022.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KBK-MIR-LAB-ENV-SOP-083 Larutan magnesium klorida 2,5 M</w:t>
      </w:r>
    </w:p>
    <w:p>
      <w:pPr>
        <w:pStyle w:val="ListParagraph"/>
        <w:numPr>
          <w:ilvl w:val="0"/>
          <w:numId w:val="1"/>
        </w:numPr>
        <w:spacing w:after="60" w:line="245"/>
      </w:pPr>
      <w:r>
        <w:rPr>
          <w:rFonts w:ascii="Calibri" w:cs="Calibri" w:eastAsia="Calibri" w:hAnsi="Calibri"/>
          <w:sz w:val="17"/>
          <w:szCs w:val="17"/>
        </w:rPr>
        <w:t xml:space="preserve">Heritage register line JSEA-PRO-LAB-304-022,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JSEA-PRO-LAB-304-022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JSEA-PRO-LAB-304-022  ·  Preparation of Magnesium Chloride 2.5 M Solution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