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Gold and Silver Circuit Inventory and Lock-Up Reconciliation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gold and silver circuit inventory and lock-up reconciliation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Count what gold and silver is actually held in circuit at the close - on carbon, on resin, in solution, in the elution circuit, in the gold room and in lock-up.</w:t>
      </w:r>
    </w:p>
    <w:p>
      <w:pPr>
        <w:pStyle w:val="ListParagraph"/>
        <w:numPr>
          <w:ilvl w:val="0"/>
          <w:numId w:val="1"/>
        </w:numPr>
        <w:spacing w:after="60" w:line="245"/>
      </w:pPr>
      <w:r>
        <w:rPr>
          <w:rFonts w:ascii="Calibri" w:cs="Calibri" w:eastAsia="Calibri" w:hAnsi="Calibri"/>
          <w:sz w:val="17"/>
          <w:szCs w:val="17"/>
        </w:rPr>
        <w:t xml:space="preserve">Lock-up is the largest single uncertainty in the metal balance and the one most exposed to a security incident.</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Arrange the count with the Shift Supervisor so the circuit is at a known, stable state.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carbon and resin concentrations per tank from the sampling instructions, and multiply by the confirmed working volume of each vessel - not the nameplate volume.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loading assays for carbon and resin from the laboratory for the same date.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Count the gold room lock-up under the two-person rule. Every item weighed, recorded and countersigned by both.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Mercury vapour in the gold room, elution and retort areas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Area ventilation confirmed running before entry. Mercury vapour monitoring where the site procedure requires it. No eating, drinking or smoking. Hands washed before leaving the area.</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Account for material in transit - carbon in an elution batch, resin in a transfer, sludge not yet smelted.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Mercury vapour in the gold room, elution and retort areas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Area ventilation confirmed running before entry. Mercury vapour monitoring where the site procedure requires it. No eating, drinking or smoking. Hands washed before leaving the area.</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Reconcile the count against the previous close plus movements. Investigate any difference before signing.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Have both counters sign the count sheet, and the Metallurgist and Process Manager approve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Carbon inventory in the CIL train</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041 / 051</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Resin inventory in the adsorption trains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061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Elution circuit solution and carbon in transit</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062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Gold room - sludge, cathodes, doré, lock-up</w:t>
            </w:r>
          </w:p>
        </w:tc>
      </w:tr>
    </w:tbl>
    <w:p>
      <w:pPr>
        <w:spacing w:after="60" w:before="0" w:line="245"/>
      </w:pPr>
    </w:p>
    <w:p>
      <w:pPr>
        <w:spacing w:after="60" w:before="0" w:line="245"/>
      </w:pPr>
      <w:r>
        <w:rPr>
          <w:rFonts w:ascii="Calibri" w:cs="Calibri" w:eastAsia="Calibri" w:hAnsi="Calibri"/>
          <w:sz w:val="17"/>
          <w:szCs w:val="17"/>
        </w:rPr>
        <w:t xml:space="preserve">Frequency: Monthly at the close, and after any circuit shutdown or major upset.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Arrange the count with the Shift Supervisor so the circuit is at a known, stable state.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carbon and resin concentrations per tank from the sampling instructions, and multiply by the confirmed working volume of each vessel - not the nameplate volume.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loading assays for carbon and resin from the laboratory for the same date.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Count the gold room lock-up under the two-person rule. Every item weighed, recorded and countersigned by both.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Account for material in transit - carbon in an elution batch, resin in a transfer, sludge not yet smelted.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Reconcile the count against the previous close plus movements. Investigate any difference before signing.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Have both counters sign the count sheet, and the Metallurgist and Process Manager approve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Carbon and resin concentration results from the sampling round</w:t>
      </w:r>
    </w:p>
    <w:p>
      <w:pPr>
        <w:pStyle w:val="ListParagraph"/>
        <w:numPr>
          <w:ilvl w:val="0"/>
          <w:numId w:val="1"/>
        </w:numPr>
        <w:spacing w:after="60" w:line="245"/>
      </w:pPr>
      <w:r>
        <w:rPr>
          <w:rFonts w:ascii="Calibri" w:cs="Calibri" w:eastAsia="Calibri" w:hAnsi="Calibri"/>
          <w:sz w:val="17"/>
          <w:szCs w:val="17"/>
        </w:rPr>
        <w:t xml:space="preserve">Circuit volumes from the equipment list</w:t>
      </w:r>
    </w:p>
    <w:p>
      <w:pPr>
        <w:pStyle w:val="ListParagraph"/>
        <w:numPr>
          <w:ilvl w:val="0"/>
          <w:numId w:val="1"/>
        </w:numPr>
        <w:spacing w:after="60" w:line="245"/>
      </w:pPr>
      <w:r>
        <w:rPr>
          <w:rFonts w:ascii="Calibri" w:cs="Calibri" w:eastAsia="Calibri" w:hAnsi="Calibri"/>
          <w:sz w:val="17"/>
          <w:szCs w:val="17"/>
        </w:rPr>
        <w:t xml:space="preserve">Gold room lock-up register</w:t>
      </w:r>
    </w:p>
    <w:p>
      <w:pPr>
        <w:pStyle w:val="ListParagraph"/>
        <w:numPr>
          <w:ilvl w:val="0"/>
          <w:numId w:val="1"/>
        </w:numPr>
        <w:spacing w:after="60" w:line="245"/>
      </w:pPr>
      <w:r>
        <w:rPr>
          <w:rFonts w:ascii="Calibri" w:cs="Calibri" w:eastAsia="Calibri" w:hAnsi="Calibri"/>
          <w:sz w:val="17"/>
          <w:szCs w:val="17"/>
        </w:rPr>
        <w:t xml:space="preserve">Two-person count sheets</w:t>
      </w:r>
    </w:p>
    <w:p>
      <w:pPr>
        <w:pStyle w:val="ListParagraph"/>
        <w:numPr>
          <w:ilvl w:val="0"/>
          <w:numId w:val="1"/>
        </w:numPr>
        <w:spacing w:after="60" w:line="245"/>
      </w:pPr>
      <w:r>
        <w:rPr>
          <w:rFonts w:ascii="Calibri" w:cs="Calibri" w:eastAsia="Calibri" w:hAnsi="Calibri"/>
          <w:sz w:val="17"/>
          <w:szCs w:val="17"/>
        </w:rPr>
        <w:t xml:space="preserve">Scales, calibrated and in date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ListParagraph"/>
        <w:numPr>
          <w:ilvl w:val="0"/>
          <w:numId w:val="1"/>
        </w:numPr>
        <w:spacing w:after="60" w:line="245"/>
      </w:pPr>
      <w:r>
        <w:rPr>
          <w:rFonts w:ascii="Calibri" w:cs="Calibri" w:eastAsia="Calibri" w:hAnsi="Calibri"/>
          <w:sz w:val="17"/>
          <w:szCs w:val="17"/>
        </w:rPr>
        <w:t xml:space="preserve">Mechanical equipment list - vessel volumes</w:t>
      </w:r>
    </w:p>
    <w:p>
      <w:pPr>
        <w:pStyle w:val="ListParagraph"/>
        <w:numPr>
          <w:ilvl w:val="0"/>
          <w:numId w:val="1"/>
        </w:numPr>
        <w:spacing w:after="60" w:line="245"/>
      </w:pPr>
      <w:r>
        <w:rPr>
          <w:rFonts w:ascii="Calibri" w:cs="Calibri" w:eastAsia="Calibri" w:hAnsi="Calibri"/>
          <w:sz w:val="17"/>
          <w:szCs w:val="17"/>
        </w:rPr>
        <w:t xml:space="preserve">MM-4034-033-RES Resin Line Schedule (268 lines)</w:t>
      </w:r>
    </w:p>
    <w:p>
      <w:pPr>
        <w:pStyle w:val="ListParagraph"/>
        <w:numPr>
          <w:ilvl w:val="0"/>
          <w:numId w:val="1"/>
        </w:numPr>
        <w:spacing w:after="60" w:line="245"/>
      </w:pPr>
      <w:r>
        <w:rPr>
          <w:rFonts w:ascii="Calibri" w:cs="Calibri" w:eastAsia="Calibri" w:hAnsi="Calibri"/>
          <w:sz w:val="17"/>
          <w:szCs w:val="17"/>
        </w:rPr>
        <w:t xml:space="preserve">KBK-MIR-MP-PRO-MET-SOP-0044 Pengiriman Bullion,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JSEA-PRO-MET-202-004  ·  Gold and Silver Circuit Inventory and Lock-Up Reconciliation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