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Resin Inventory and Resin Movement Accounting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resin inventory and resin movement accounting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Track resin into the circuit, around it and out of it.</w:t>
      </w:r>
    </w:p>
    <w:p>
      <w:pPr>
        <w:pStyle w:val="ListParagraph"/>
        <w:numPr>
          <w:ilvl w:val="0"/>
          <w:numId w:val="1"/>
        </w:numPr>
        <w:spacing w:after="60" w:line="245"/>
      </w:pPr>
      <w:r>
        <w:rPr>
          <w:rFonts w:ascii="Calibri" w:cs="Calibri" w:eastAsia="Calibri" w:hAnsi="Calibri"/>
          <w:sz w:val="17"/>
          <w:szCs w:val="17"/>
        </w:rPr>
        <w:t xml:space="preserve">Resin is the single largest consumable exposure on a ReCYN circuit and the hardest to see leaving.</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every fresh resin addition and every conditioning batch - date, volume,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every transfer between adsorption tanks and to and from the elution columns, with direction and volume.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Record resin found on any screen undersize or in any launder as a loss, with the location.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Reconcile the inventory from the concentration measurements against the movement record.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bead size distribution against the previous count - a shift to fines is attrition and predicts the next loss.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Report the resin balance with the monthly close and against RA-01.</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 / 051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Adsorption train resin inventory</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071 / 081</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Elution column resin in transit</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Screens</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Resin recovery and safety screens - the loss points</w:t>
            </w:r>
          </w:p>
        </w:tc>
      </w:tr>
    </w:tbl>
    <w:p>
      <w:pPr>
        <w:spacing w:after="60" w:before="0" w:line="245"/>
      </w:pPr>
    </w:p>
    <w:p>
      <w:pPr>
        <w:spacing w:after="60" w:before="0" w:line="245"/>
      </w:pPr>
      <w:r>
        <w:rPr>
          <w:rFonts w:ascii="Calibri" w:cs="Calibri" w:eastAsia="Calibri" w:hAnsi="Calibri"/>
          <w:sz w:val="17"/>
          <w:szCs w:val="17"/>
        </w:rPr>
        <w:t xml:space="preserve">Frequency: Every resin transfer, reconciled monthly.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every fresh resin addition and every conditioning batch - date, volume, batch.</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every transfer between adsorption tanks and to and from the elution columns, with direction and volume.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resin found on any screen undersize or in any launder as a loss, with the location.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Reconcile the inventory from the concentration measurements against the movement record.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bead size distribution against the previous count - a shift to fines is attrition and predicts the next loss.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Report the resin balance with the monthly close and against RA-01.</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Resin concentration results by tank</w:t>
      </w:r>
    </w:p>
    <w:p>
      <w:pPr>
        <w:pStyle w:val="ListParagraph"/>
        <w:numPr>
          <w:ilvl w:val="0"/>
          <w:numId w:val="1"/>
        </w:numPr>
        <w:spacing w:after="60" w:line="245"/>
      </w:pPr>
      <w:r>
        <w:rPr>
          <w:rFonts w:ascii="Calibri" w:cs="Calibri" w:eastAsia="Calibri" w:hAnsi="Calibri"/>
          <w:sz w:val="17"/>
          <w:szCs w:val="17"/>
        </w:rPr>
        <w:t xml:space="preserve">Fresh resin delivery records</w:t>
      </w:r>
    </w:p>
    <w:p>
      <w:pPr>
        <w:pStyle w:val="ListParagraph"/>
        <w:numPr>
          <w:ilvl w:val="0"/>
          <w:numId w:val="1"/>
        </w:numPr>
        <w:spacing w:after="60" w:line="245"/>
      </w:pPr>
      <w:r>
        <w:rPr>
          <w:rFonts w:ascii="Calibri" w:cs="Calibri" w:eastAsia="Calibri" w:hAnsi="Calibri"/>
          <w:sz w:val="17"/>
          <w:szCs w:val="17"/>
        </w:rPr>
        <w:t xml:space="preserve">Transfer records by direction</w:t>
      </w:r>
    </w:p>
    <w:p>
      <w:pPr>
        <w:pStyle w:val="ListParagraph"/>
        <w:numPr>
          <w:ilvl w:val="0"/>
          <w:numId w:val="1"/>
        </w:numPr>
        <w:spacing w:after="60" w:line="245"/>
      </w:pPr>
      <w:r>
        <w:rPr>
          <w:rFonts w:ascii="Calibri" w:cs="Calibri" w:eastAsia="Calibri" w:hAnsi="Calibri"/>
          <w:sz w:val="17"/>
          <w:szCs w:val="17"/>
        </w:rPr>
        <w:t xml:space="preserve">MM-4034-033-RES Resin Line Schedule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RA-01 Resin Loss Register Rev A and its study report</w:t>
      </w:r>
    </w:p>
    <w:p>
      <w:pPr>
        <w:pStyle w:val="ListParagraph"/>
        <w:numPr>
          <w:ilvl w:val="0"/>
          <w:numId w:val="1"/>
        </w:numPr>
        <w:spacing w:after="60" w:line="245"/>
      </w:pPr>
      <w:r>
        <w:rPr>
          <w:rFonts w:ascii="Calibri" w:cs="Calibri" w:eastAsia="Calibri" w:hAnsi="Calibri"/>
          <w:sz w:val="17"/>
          <w:szCs w:val="17"/>
        </w:rPr>
        <w:t xml:space="preserve">MM-4034-033-RES Resin Line Schedule (268 lines)</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and KBK SOP-PROC-CNREC-12 Fresh resin conditioning, both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JSEA-PRO-MET-202-006  ·  Resin Inventory and Resin Movement Accounting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