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Reagent Consumption Tracking and Reconciliation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HM-PRC-VXX-PRO206  Metallurgical Accounting and Reconciliation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202  Metallurgical Accounting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JSEA-PRO-MET-202-007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reagent consumption tracking and reconciliation in 202  Metallurgical Accounting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Track what reagent was actually consumed against what the design says it should be.</w:t>
      </w:r>
    </w:p>
    <w:p>
      <w:pPr>
        <w:pStyle w:val="ListParagraph"/>
        <w:numPr>
          <w:ilvl w:val="0"/>
          <w:numId w:val="1"/>
        </w:numPr>
        <w:spacing w:after="60" w:line="245"/>
      </w:pPr>
      <w:r>
        <w:rPr>
          <w:rFonts w:ascii="Calibri" w:cs="Calibri" w:eastAsia="Calibri" w:hAnsi="Calibri"/>
          <w:sz w:val="17"/>
          <w:szCs w:val="17"/>
        </w:rPr>
        <w:t xml:space="preserve">Reagent is a large operating cost and an over-consumption is usually a symptom of something else going wrong in the circuit.</w:t>
      </w:r>
    </w:p>
    <w:p>
      <w:pPr>
        <w:spacing w:after="60" w:before="0" w:line="245"/>
      </w:pPr>
      <w:r>
        <w:rPr>
          <w:rFonts w:ascii="Calibri" w:cs="Calibri" w:eastAsia="Calibri" w:hAnsi="Calibri"/>
          <w:sz w:val="17"/>
          <w:szCs w:val="17"/>
        </w:rPr>
        <w:t xml:space="preserve">It is read with HM-PRC-VXX-PRO206 Metallurgical Accounting and Reconciliation,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Record every delivery against the docket - reagent, mass or volume, batch, date.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Take the dosing totals for the period from the control system, and the tank levels at the start and end.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Calculate consumption from stock movement and cross-check it against the dosing totals. The two should agree; where they do not, one of the instruments is wrong or reagent is going somewhere it should not.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Express consumption per tonne of ore treated and compare against the design rate in HM-PP-006B.</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Investigate any reagent running materially above design before reporting it. Cyanide above design is a cost, an environmental exposure and usually a process problem.</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Carry out a physical stocktake at the monthly close and reconcile against the calculated stock.</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with the monthly close.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101 to 107</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All reagent areas - NaCN, NaOH, lime, NaCl, H2SO4, flocculant, NaSH</w:t>
            </w:r>
          </w:p>
        </w:tc>
      </w:tr>
    </w:tbl>
    <w:p>
      <w:pPr>
        <w:spacing w:after="60" w:before="0" w:line="245"/>
      </w:pPr>
    </w:p>
    <w:p>
      <w:pPr>
        <w:spacing w:after="60" w:before="0" w:line="245"/>
      </w:pPr>
      <w:r>
        <w:rPr>
          <w:rFonts w:ascii="Calibri" w:cs="Calibri" w:eastAsia="Calibri" w:hAnsi="Calibri"/>
          <w:sz w:val="17"/>
          <w:szCs w:val="17"/>
        </w:rPr>
        <w:t xml:space="preserve">Frequency: Daily entry, reconciled monthly against deliveries and stock.</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Record every delivery against the docket - reagent, mass or volume, batch, date.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Take the dosing totals for the period from the control system, and the tank levels at the start and end.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Calculate consumption from stock movement and cross-check it against the dosing totals. The two should agree; where they do not, one of the instruments is wrong or reagent is going somewhere it should not.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Express consumption per tonne of ore treated and compare against the design rate in HM-PP-006B.</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Investigate any reagent running materially above design before reporting it. Cyanide above design is a cost, an environmental exposure and usually a process problem.</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Carry out a physical stocktake at the monthly close and reconcile against the calculated stock.</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with the monthly close.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Delivery dockets and weighbridge tickets</w:t>
      </w:r>
    </w:p>
    <w:p>
      <w:pPr>
        <w:pStyle w:val="ListParagraph"/>
        <w:numPr>
          <w:ilvl w:val="0"/>
          <w:numId w:val="1"/>
        </w:numPr>
        <w:spacing w:after="60" w:line="245"/>
      </w:pPr>
      <w:r>
        <w:rPr>
          <w:rFonts w:ascii="Calibri" w:cs="Calibri" w:eastAsia="Calibri" w:hAnsi="Calibri"/>
          <w:sz w:val="17"/>
          <w:szCs w:val="17"/>
        </w:rPr>
        <w:t xml:space="preserve">Tank level and dosing flow records</w:t>
      </w:r>
    </w:p>
    <w:p>
      <w:pPr>
        <w:pStyle w:val="ListParagraph"/>
        <w:numPr>
          <w:ilvl w:val="0"/>
          <w:numId w:val="1"/>
        </w:numPr>
        <w:spacing w:after="60" w:line="245"/>
      </w:pPr>
      <w:r>
        <w:rPr>
          <w:rFonts w:ascii="Calibri" w:cs="Calibri" w:eastAsia="Calibri" w:hAnsi="Calibri"/>
          <w:sz w:val="17"/>
          <w:szCs w:val="17"/>
        </w:rPr>
        <w:t xml:space="preserve">HM-PP-006A Reagent First Fill and HM-PP-006B Reagents Consumption 2026</w:t>
      </w:r>
    </w:p>
    <w:p>
      <w:pPr>
        <w:pStyle w:val="ListParagraph"/>
        <w:numPr>
          <w:ilvl w:val="0"/>
          <w:numId w:val="1"/>
        </w:numPr>
        <w:spacing w:after="60" w:line="245"/>
      </w:pPr>
      <w:r>
        <w:rPr>
          <w:rFonts w:ascii="Calibri" w:cs="Calibri" w:eastAsia="Calibri" w:hAnsi="Calibri"/>
          <w:sz w:val="17"/>
          <w:szCs w:val="17"/>
        </w:rPr>
        <w:t xml:space="preserve">Stocktake sheets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HM-PP-006A Reagent First Fill and HM-PP-006B Reagents Consumption 2026</w:t>
      </w:r>
    </w:p>
    <w:p>
      <w:pPr>
        <w:pStyle w:val="ListParagraph"/>
        <w:numPr>
          <w:ilvl w:val="0"/>
          <w:numId w:val="1"/>
        </w:numPr>
        <w:spacing w:after="60" w:line="245"/>
      </w:pPr>
      <w:r>
        <w:rPr>
          <w:rFonts w:ascii="Calibri" w:cs="Calibri" w:eastAsia="Calibri" w:hAnsi="Calibri"/>
          <w:sz w:val="17"/>
          <w:szCs w:val="17"/>
        </w:rPr>
        <w:t xml:space="preserve">Mt. Morgan Reagent Consumption and Pricing folder, including the pricing reference set</w:t>
      </w:r>
    </w:p>
    <w:p>
      <w:pPr>
        <w:pStyle w:val="ListParagraph"/>
        <w:numPr>
          <w:ilvl w:val="0"/>
          <w:numId w:val="1"/>
        </w:numPr>
        <w:spacing w:after="60" w:line="245"/>
      </w:pPr>
      <w:r>
        <w:rPr>
          <w:rFonts w:ascii="Calibri" w:cs="Calibri" w:eastAsia="Calibri" w:hAnsi="Calibri"/>
          <w:sz w:val="17"/>
          <w:szCs w:val="17"/>
        </w:rPr>
        <w:t xml:space="preserve">HM-PRC-V01-PRO021 to PRO027 reagent procedures</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JSEA-PRO-MET-202-007  ·  Reagent Consumption Tracking and Reconciliation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