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Bullion Reconciliation Against Refinery Outturn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HM-PRC-VXX-PRO206  Metallurgical Accounting and Reconciliation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202  Metallurgical Accounting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JSEA-PRO-MET-202-008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bullion reconciliation against refinery outturn in 202  Metallurgical Accounting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Reconcile what was dispatched as doré against what the refinery says it received and assayed.</w:t>
      </w:r>
    </w:p>
    <w:p>
      <w:pPr>
        <w:pStyle w:val="ListParagraph"/>
        <w:numPr>
          <w:ilvl w:val="0"/>
          <w:numId w:val="1"/>
        </w:numPr>
        <w:spacing w:after="60" w:line="245"/>
      </w:pPr>
      <w:r>
        <w:rPr>
          <w:rFonts w:ascii="Calibri" w:cs="Calibri" w:eastAsia="Calibri" w:hAnsi="Calibri"/>
          <w:sz w:val="17"/>
          <w:szCs w:val="17"/>
        </w:rPr>
        <w:t xml:space="preserve">This is the final check on the whole gold accounting chain and the point at which a systematic assay bias becomes visible.</w:t>
      </w:r>
    </w:p>
    <w:p>
      <w:pPr>
        <w:spacing w:after="60" w:before="0" w:line="245"/>
      </w:pPr>
      <w:r>
        <w:rPr>
          <w:rFonts w:ascii="Calibri" w:cs="Calibri" w:eastAsia="Calibri" w:hAnsi="Calibri"/>
          <w:sz w:val="17"/>
          <w:szCs w:val="17"/>
        </w:rPr>
        <w:t xml:space="preserve">It is read with HM-PRC-VXX-PRO206 Metallurgical Accounting and Reconciliation,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dispatch record is complete - bar numbers, weights, site assays, seal numbers, carrier and date - and countersigned by two people.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On receipt of the refinery outturn, compare bar by bar against the site record.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Reconcile weight first, then assay. A weight difference is a handling or scale problem; an assay difference is a laboratory problem.</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Where the difference exceeds the settlement tolerance, request an umpire assay before accepting the outturn.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Track the site-to-refinery assay difference over time. A consistent bias in one direction is a laboratory calibration issue, not chance.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Feed the accepted outturn into the monthly metal accounting close.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File the outturn statement against the dispatch record.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062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Gold room - doré dispatch</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Refinery</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Outturn statement and settlement assay</w:t>
            </w:r>
          </w:p>
        </w:tc>
      </w:tr>
    </w:tbl>
    <w:p>
      <w:pPr>
        <w:spacing w:after="60" w:before="0" w:line="245"/>
      </w:pPr>
    </w:p>
    <w:p>
      <w:pPr>
        <w:spacing w:after="60" w:before="0" w:line="245"/>
      </w:pPr>
      <w:r>
        <w:rPr>
          <w:rFonts w:ascii="Calibri" w:cs="Calibri" w:eastAsia="Calibri" w:hAnsi="Calibri"/>
          <w:sz w:val="17"/>
          <w:szCs w:val="17"/>
        </w:rPr>
        <w:t xml:space="preserve">Frequency: Every dispatch, reconciled at the monthly close.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dispatch record is complete - bar numbers, weights, site assays, seal numbers, carrier and date - and countersigned by two people.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On receipt of the refinery outturn, compare bar by bar against the site record.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Reconcile weight first, then assay. A weight difference is a handling or scale problem; an assay difference is a laboratory problem.</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Where the difference exceeds the settlement tolerance, request an umpire assay before accepting the outturn.</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Track the site-to-refinery assay difference over time. A consistent bias in one direction is a laboratory calibration issue, not chance.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Feed the accepted outturn into the monthly metal accounting close.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File the outturn statement against the dispatch record.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Dispatch records and seals register</w:t>
      </w:r>
    </w:p>
    <w:p>
      <w:pPr>
        <w:pStyle w:val="ListParagraph"/>
        <w:numPr>
          <w:ilvl w:val="0"/>
          <w:numId w:val="1"/>
        </w:numPr>
        <w:spacing w:after="60" w:line="245"/>
      </w:pPr>
      <w:r>
        <w:rPr>
          <w:rFonts w:ascii="Calibri" w:cs="Calibri" w:eastAsia="Calibri" w:hAnsi="Calibri"/>
          <w:sz w:val="17"/>
          <w:szCs w:val="17"/>
        </w:rPr>
        <w:t xml:space="preserve">Site doré weights and assays</w:t>
      </w:r>
    </w:p>
    <w:p>
      <w:pPr>
        <w:pStyle w:val="ListParagraph"/>
        <w:numPr>
          <w:ilvl w:val="0"/>
          <w:numId w:val="1"/>
        </w:numPr>
        <w:spacing w:after="60" w:line="245"/>
      </w:pPr>
      <w:r>
        <w:rPr>
          <w:rFonts w:ascii="Calibri" w:cs="Calibri" w:eastAsia="Calibri" w:hAnsi="Calibri"/>
          <w:sz w:val="17"/>
          <w:szCs w:val="17"/>
        </w:rPr>
        <w:t xml:space="preserve">Refinery outturn statements</w:t>
      </w:r>
    </w:p>
    <w:p>
      <w:pPr>
        <w:pStyle w:val="ListParagraph"/>
        <w:numPr>
          <w:ilvl w:val="0"/>
          <w:numId w:val="1"/>
        </w:numPr>
        <w:spacing w:after="60" w:line="245"/>
      </w:pPr>
      <w:r>
        <w:rPr>
          <w:rFonts w:ascii="Calibri" w:cs="Calibri" w:eastAsia="Calibri" w:hAnsi="Calibri"/>
          <w:sz w:val="17"/>
          <w:szCs w:val="17"/>
        </w:rPr>
        <w:t xml:space="preserve">Umpire assay results where a settlement is in dispute</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KBK-MIR-MP-PRO-MET-SOP-0044 Pengiriman Bullion, received 11 Aug 2026 - covers dispatch, weighing, packing, documentation and handover</w:t>
      </w:r>
    </w:p>
    <w:p>
      <w:pPr>
        <w:pStyle w:val="ListParagraph"/>
        <w:numPr>
          <w:ilvl w:val="0"/>
          <w:numId w:val="1"/>
        </w:numPr>
        <w:spacing w:after="60" w:line="245"/>
      </w:pPr>
      <w:r>
        <w:rPr>
          <w:rFonts w:ascii="Calibri" w:cs="Calibri" w:eastAsia="Calibri" w:hAnsi="Calibri"/>
          <w:sz w:val="17"/>
          <w:szCs w:val="17"/>
        </w:rPr>
        <w:t xml:space="preserve">No source held for the outturn reconciliation half of this task</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JSEA-PRO-MET-202-008  ·  Bullion Reconciliation Against Refinery Outturn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