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Dispatch, Umpire Assay and External Laboratory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JSEA-PRO-MET-202-010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dispatch, umpire assay and external laboratory reconciliation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Get samples to the external laboratory with a chain of custody, and reconcile the results that come back against the site laboratory.</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Select and prepare the samples for dispatch per the site protocol - umpire splits, check assays and any sample the site laboratory cannot run.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Label and seal each sample, and record it in the dispatch register with the seal number.</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Complete the chain of custody form and obtain a signature at each handover.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the dispatch date, carrier and expected turnaround.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On receipt of results, compare against the site result for the same sample.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Track the site-to-external difference over time and report any developing bias to the laboratory.</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File the certificate against the dispatch record.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Sample dispatch point</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Preparation, packing and despatch to the external laboratory</w:t>
            </w:r>
          </w:p>
        </w:tc>
      </w:tr>
    </w:tbl>
    <w:p>
      <w:pPr>
        <w:spacing w:after="60" w:before="0" w:line="245"/>
      </w:pPr>
    </w:p>
    <w:p>
      <w:pPr>
        <w:spacing w:after="60" w:before="0" w:line="245"/>
      </w:pPr>
      <w:r>
        <w:rPr>
          <w:rFonts w:ascii="Calibri" w:cs="Calibri" w:eastAsia="Calibri" w:hAnsi="Calibri"/>
          <w:sz w:val="17"/>
          <w:szCs w:val="17"/>
        </w:rPr>
        <w:t xml:space="preserve">Frequency: Every dispatch; reconciliation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Select and prepare the samples for dispatch per the site protocol - umpire splits, check assays and any sample the site laboratory cannot run.</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Label and seal each sample, and record it in the dispatch register with the seal number.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Complete the chain of custody form and obtain a signature at each handover.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dispatch date, carrier and expected turnaround.</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On receipt of results, compare against the site result for the same sample.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Track the site-to-external difference over time and report any developing bias to the laboratory.</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File the certificate against the dispatch record.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dispatch register</w:t>
      </w:r>
    </w:p>
    <w:p>
      <w:pPr>
        <w:pStyle w:val="ListParagraph"/>
        <w:numPr>
          <w:ilvl w:val="0"/>
          <w:numId w:val="1"/>
        </w:numPr>
        <w:spacing w:after="60" w:line="245"/>
      </w:pPr>
      <w:r>
        <w:rPr>
          <w:rFonts w:ascii="Calibri" w:cs="Calibri" w:eastAsia="Calibri" w:hAnsi="Calibri"/>
          <w:sz w:val="17"/>
          <w:szCs w:val="17"/>
        </w:rPr>
        <w:t xml:space="preserve">Packing materials and seals</w:t>
      </w:r>
    </w:p>
    <w:p>
      <w:pPr>
        <w:pStyle w:val="ListParagraph"/>
        <w:numPr>
          <w:ilvl w:val="0"/>
          <w:numId w:val="1"/>
        </w:numPr>
        <w:spacing w:after="60" w:line="245"/>
      </w:pPr>
      <w:r>
        <w:rPr>
          <w:rFonts w:ascii="Calibri" w:cs="Calibri" w:eastAsia="Calibri" w:hAnsi="Calibri"/>
          <w:sz w:val="17"/>
          <w:szCs w:val="17"/>
        </w:rPr>
        <w:t xml:space="preserve">Chain of custody forms</w:t>
      </w:r>
    </w:p>
    <w:p>
      <w:pPr>
        <w:pStyle w:val="ListParagraph"/>
        <w:numPr>
          <w:ilvl w:val="0"/>
          <w:numId w:val="1"/>
        </w:numPr>
        <w:spacing w:after="60" w:line="245"/>
      </w:pPr>
      <w:r>
        <w:rPr>
          <w:rFonts w:ascii="Calibri" w:cs="Calibri" w:eastAsia="Calibri" w:hAnsi="Calibri"/>
          <w:sz w:val="17"/>
          <w:szCs w:val="17"/>
        </w:rPr>
        <w:t xml:space="preserve">External laboratory result certificates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KBK-MIR-LAB-PRE-SOP-009 Pengiriman Sampel ke laboratorium eksternal</w:t>
      </w:r>
    </w:p>
    <w:p>
      <w:pPr>
        <w:pStyle w:val="ListParagraph"/>
        <w:numPr>
          <w:ilvl w:val="0"/>
          <w:numId w:val="1"/>
        </w:numPr>
        <w:spacing w:after="60" w:line="245"/>
      </w:pPr>
      <w:r>
        <w:rPr>
          <w:rFonts w:ascii="Calibri" w:cs="Calibri" w:eastAsia="Calibri" w:hAnsi="Calibri"/>
          <w:sz w:val="17"/>
          <w:szCs w:val="17"/>
        </w:rPr>
        <w:t xml:space="preserve">4034-PR-PRO-002 Sampling Protocol</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JSEA-PRO-MET-202-010  ·  Sample Dispatch, Umpire Assay and External Laboratory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