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Sample Pattern Set-Up - Resin Samples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HM-MMM-WHS-FRM-031-R01-JSEA-PRO-LAB-302-004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Run resin batches separately from carbon and from plant solids.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Use dedicated resin glassware and crucibles. Resin ash behaves differently to carbon ash and the carry-over risk is different.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Set the pattern from the batch sheet before any sample is added.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Insert quality control samples appropriate to resin. KBK's carbon standards are not a substitute.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Confirm the pattern with a second person.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Record the resin type - GG1200M or GG1200C - against the batch, because the ashing and digest behaviour differ.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JSEA-PRO-LAB-302-004 Sample Pattern Set-Up - Resin Samples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