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Laboratory Waste Segregation, Storage and Disposal (305  Laboratory Services)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HM-MMM-WHS-FRM-031-R01-JSEA-PRO-LAB-305-009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Segregate at the bench. Cyanide-bearing, acidic, solvent and general waste each get their own container.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NEVER put acidic waste into a cyanide-bearing container. That generates HCN inside a closed bin.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Neutralise acidic waste and confirm with pH paper before it goes to any shared route.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Label every container with contents, hazard and accumulation start date.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Keep containers closed except when adding waste.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Log waste as it is generated, not from memory later.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Confirm the destination for cyanide-bearing effluent before generating any. This is still not confirmed for this site.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Arrange removal at the set interval and file the disposal documentation.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JSEA-PRO-LAB-305-009 Laboratory Waste Segregation, Storage and Disposal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