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Sampling During Start-Up, Shutdown and Upset Conditions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Establish from the control room what state the plant is in before going out. Do not assume.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During start-up, do not sample a line until flow has been established and held for the period the circuit procedure states. A sample from a part-full line is meaningless and the line may surge when flow arrives.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During shutdown, sample only where the circuit procedure calls for it. Lines being drained and flushed can discharge without warning.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Mark every sample taken outside steady state as OFF-CONDITION on the label and in the register, with the plant state written on it. An unmarked off-condition sample corrupts the shift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Do NOT sample at all during: a gas alarm, a reagent spill response, a power interruption, a confined space entry in the area, or any time the Shift Supervisor has restricted access.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During an upset, the priority is the plant and the people, not the sample. A missed sample is recorded as missed. It is never invented or back-filled.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Once steady state is re-established, note the time and restart the routine schedule from the next full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to the metallurgist which samples were missed and why, so the shift balance is not closed on a gap nobody knows about.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JSEA-PRO-MET-201-024 Sampling During Start-Up, Shutdown and Upset Conditions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