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Leach and CIL Profile Survey - Tank-by-Tank Gold and Cyanide Profile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steady state and hold the circuit through the survey.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every tank in the train in sequence, in one pass, so the profile represents one moment.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Confined space atmosphere at a tank top hatch, launder or hopper opening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is done from outside the opening only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Confined space entry, if it is ever needed for a sample point, requires a permit, atmosphere testing, isolation, a standby person and a rescue plan under the site confined space procedure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Determine pH, dissolved oxygen and free cyanide in the field at each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Confined space atmosphere at a tank top hatch, launder or hopper opening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is done from outside the opening only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Confined space entry, if it is ever needed for a sample point, requires a permit, atmosphere testing, isolation, a standby person and a rescue plan under the site confined space procedure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Filter each sample and submit solution and solids for gold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carbon concentration and carbon loading for each CIL tank on the same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Confined space atmosphere at a tank top hatch, launder or hopper opening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is done from outside the opening only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Confined space entry, if it is ever needed for a sample point, requires a permit, atmosphere testing, isolation, a standby person and a rescue plan under the site confined space procedure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Plot solution gold, solids gold and carbon loading down the train.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Identify the tank where leaching finishes and the tank where adsorption stops being effective.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Confined space atmosphere at a tank top hatch, launder or hopper opening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is done from outside the opening only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Confined space entry, if it is ever needed for a sample point, requires a permit, atmosphere testing, isolation, a standby person and a rescue plan under the site confined space procedure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against the design profile and recommend any carbon movement or dosing change.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JSEA-PRO-MET-203-005 Leach and CIL Profile Survey - Tank-by-Tank Gold and Cyanide Profile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