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Oxygen Utilisation and Sparger Performance Survey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the oxygen supply pressure and flow to each sparger from the control system.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Measure dissolved oxygen at several depths and positions in the tank, not at one point. A single reading at the launder does not describe the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the DO reading immediately on sampling - atmospheric exchange starts as soon as the sample is drawn.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oxygen utilisation from the injected flow and the measured dissolved oxygen against the consumption implied by the leach rate.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the sparger operating pressure against the Hypersparge instructions. A sparger operating below its design pressure is not atomising.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Inspect the sparger condition against the vendor criteria where access allows.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utilisation, the DO profile and any sparger due for cleaning or replacement.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JSEA-PRO-MET-203-012 Oxygen Utilisation and Sparger Performance Survey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