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Flocculant Screening and Dose Optimisation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Flocculant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settling cylinders and a flocculant test rig are available before planning the test.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Make up each candidate flocculant at the same strength and ageing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Run the settling test at a fixed dose across all candidates first, to shortlist.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the dose response on the shortlist.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settling rate, overflow clarity and underflow density for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Cost each option per tonne treated at its optimum dose.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against the plant flocculant basis in the Roytec control philosophies.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JSEA-PRO-MET-204-010 Flocculant Screening and Dose Optimisation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