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Adsorption Capacity and Isotherm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gold solutions across the concentration range the isotherm needs.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Charge each bottle with the same mass of carbon and a different solution concentration.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Roll for long enough to reach equilibrium - the period the method sets, not until convenient.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Separate, wash and assay the carbon and the residual solution from each bottle.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Plot carbon loading against equilibrium solution concentration to give the isotherm.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Compare against fresh carbon and against the previous month's result on the same carbon.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the capacity and the activity trend against regeneration cycles.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JSEA-PRO-MET-205-010 Carbon Adsorption Capacity and Isotherm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