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Resin Fouling, Osmotic Shock and Bead Integrity Assessment (205  Met Lab - Chemical and Leach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HM-MMM-WHS-FRM-031-R01-JSEA-PRO-MET-205-014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Caustic soda (NaOH)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(H2SO4); 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Take the resin sample from the transfer stream, not from a settled hopper.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Wash free of slurry over the retention aperture.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Run the bead size distribution per the resin PSD method and record the fraction below the retention aperture.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Count a subsample for whole, cracked and broken beads and report whole bead count as a percentage.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Inspect for fouling - discolouration, coating and change in bulk density against fresh resin.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Where fouling is suspected, run the acid and caustic wash sequence at the bench and re-measure capacity against an unwashed split.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Trend all measures against the conditioning and transfer history.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Report against the acceptance criteria once Goldquip supplies them - until then, report the trend only.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JSEA-PRO-MET-205-014 Resin Fouling, Osmotic Shock and Bead Integrity Assessment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