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Waste, Residue and Effluent Disposal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Segregate at the bench. Cyanide-bearing, acidic, and general waste go to separate containers - never the same 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put acidic waste into a cyanide-bearing waste container. That is an HCN generation event in a closed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acidic waste before it goes to any shared route, and confirm with pH paper.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Route cyanide-bearing effluent to the designated destination only. Confirm where that is before the first litre is generated.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Label every waste container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Log the waste in the register as it is generated, not from memory at the end of the week.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Keep solid residues from testwork until the result is reported and accepted, then dispose.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JSEA-PRO-MET-206-007 Met Lab Waste, Residue and Effluent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