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Glassware Washing and Drying - Wet Lab (302  Wet Lab)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HM-MMM-WHS-FRM-031-R03-JSEA-PRO-LAB-302-025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Rinse immediately after use, before residues dry 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Discard the first rinse to the correct waste stream - an acid or cyanide rinse is not general drain.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Wash with detergent and a brush, then rinse with tap water.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Acid wash where the method requires it, in the fume cupboard, then rinse thoroughly.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Give a final rinse with distilled or RO/DI water. Tap water leaves dissolved solids behind.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Inspect for chips and cracks and discard damaged glassware into the sharps bin.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Do NOT dry volumetric glassware in an oven - heat changes its calibrated volume.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Store clean glassware inverted or covered.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JSEA-PRO-LAB-302-025 Glassware Washing and Drying - Wet Lab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