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Spill Response and Neutralisation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HM-MMM-WHS-FRM-031-R03-JSEA-PRO-LAB-302-027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Raise the alarm and clear anyone not needed for the response.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Where the spill is near cyanide-bearing material or waste, treat it as a potential HCN release - evacuate, close the door and do not attempt an unprotected clean-up.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Contain the spill before neutralising. Never flush acid to drain untreated.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Apply neutraliser from the outside of the spill inwards, slowly. Fast addition to concentrated acid generates heat and spatter.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neutralisation with pH paper before absorbing.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Absorb, bag and label for chemical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skin or eye contact, flood at the shower or eyewash for at least 15 minutes. For hydrofluoric acid, apply calcium gluconate gel and treat as a medical emergency regardless of how the skin looks.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and record every spill, however small.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JSEA-PRO-LAB-302-027 Acid Spill Response and Neutralisation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