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and Resin Loss Quantification Survey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inventory reconciliation for the period as the starting point - it says how much is missing.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every stream leaving the circuit that could carry carbon or resin: screen undersizes, thickener overflow and underflow, the tailings line, and any launder or sump overflow.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Recover, dry and weigh carbon and resin from each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Estimate attrition from the bead and particle size distribution trend rather than from a single measurement.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Add the located losses and compare against the reconciliation gap.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the located loss does not account for the gap, look for an unrecorded movement or a spillage route before concluding it is attrition.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by location so the fix can be targeted, and update RA-01 and RA-02.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JSEA-PRO-MET-203-011 Carbon and Resin Loss Quantification Survey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