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Dry Sieve Analysis - Ro-Tap RX29 and 200 mm Sieve Set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HM-MMM-WHS-FRM-031-R03-JSEA-PRO-MET-204-016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sieve set is clean and the apertures are intact before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Dry the sample to constant mass and record the dry mass.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Stack the sieves in descending aperture order with the pan at the bottom.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Load the sample onto the top sieve. Do not overload - an overloaded sieve blinds and under-reports the fines.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Shake on the Ro-Tap for the standard period with the sound enclosure closed.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Hearing damage in the mill, screen, compressor and blower areas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Hearing protection mandatory in signed areas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Double protection at the mill and compressor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Time at the point kept to what the task needs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Weigh each retained fraction and the pan.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Check the sum against the dry mass and repeat if the loss exceeds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Clean the sieves immediately after use and record the sieve set identity against the result.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JSEA-PRO-MET-204-016 Dry Sieve Analysis - Ro-Tap RX29 and 200 mm Sieve Set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