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 Lab Waste, Residue and Effluent Disposal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Segregate at the bench. Cyanide-bearing, acidic, and general waste go to separate containers - never the same 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NEVER put acidic waste into a cyanide-bearing waste container. That is an HCN generation event in a closed bin.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Neutralise acidic waste before it goes to any shared route, and confirm with pH paper.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Route cyanide-bearing effluent to the designated destination only. Confirm where that is before the first litre is generated.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Label every waste container with contents, hazard and accumulation start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Log the waste in the register as it is generated, not from memory at the end of the week.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Keep solid residues from testwork until the result is reported and accepted, then dispose.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Arrange removal at the set interval and file the disposal documentation.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JSEA-PRO-MET-206-007 Met Lab Waste, Residue and Effluent Disposal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