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Adsorption Sampling Round - 051-TK-009 and 051-TK-010 (ReCYN)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SWI-PRO-MET-201-010  Cyanide Adsorption Sampling Round - 051-TK-009 and 051-TK-010 (ReCYN)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051 Cyanide Adsorption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adsorption sampling round - 051-tk-009 and 051-tk-010 (recyn) in 051 Cyanide Adsorption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free and WAD cyanide profile across the cyanide adsorption train.</w:t>
      </w:r>
    </w:p>
    <w:p>
      <w:pPr>
        <w:pStyle w:val="ListParagraph"/>
        <w:numPr>
          <w:ilvl w:val="0"/>
          <w:numId w:val="1"/>
        </w:numPr>
        <w:spacing w:after="60" w:line="245"/>
      </w:pPr>
      <w:r>
        <w:rPr>
          <w:rFonts w:ascii="Calibri" w:cs="Calibri" w:eastAsia="Calibri" w:hAnsi="Calibri"/>
          <w:sz w:val="17"/>
          <w:szCs w:val="17"/>
        </w:rPr>
        <w:t xml:space="preserve">Cyanide recovery here is the whole point of the ReCYN circuit - this profile is the measure of whether it is working.</w:t>
      </w:r>
    </w:p>
    <w:p>
      <w:pPr>
        <w:spacing w:after="60" w:before="0" w:line="245"/>
      </w:pPr>
      <w:r>
        <w:rPr>
          <w:rFonts w:ascii="Calibri" w:cs="Calibri" w:eastAsia="Calibri" w:hAnsi="Calibri"/>
          <w:sz w:val="17"/>
          <w:szCs w:val="17"/>
        </w:rPr>
        <w:t xml:space="preserve">It is read with work instruction SWI-PRO-MET-201-010,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tank 1 then tank 2 in sequence.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Fall from a tank top, launder platform, column platform or access ladder</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each point and discard the first 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the sample for resin beads over the 0.9 mm sieve and report any carry-over.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Determine pH and free cyanide in the field.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Filter and bottle for WAD cyanide and metal assay.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both tanks on one profile sheet against the reading from the online cyanide analyser.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Fall from a tank top, launder platform, column platform or access ladder</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051-TK-009</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tank 1</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051-TK-010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Cyanide adsorption tank 2</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051-SC-005 / 051-SC-006 / 051-SC-020</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Adsorption screens</w:t>
            </w:r>
          </w:p>
        </w:tc>
      </w:tr>
    </w:tbl>
    <w:p>
      <w:pPr>
        <w:spacing w:after="60" w:before="0" w:line="245"/>
      </w:pPr>
    </w:p>
    <w:p>
      <w:pPr>
        <w:spacing w:after="60" w:before="0" w:line="245"/>
      </w:pPr>
      <w:r>
        <w:rPr>
          <w:rFonts w:ascii="Calibri" w:cs="Calibri" w:eastAsia="Calibri" w:hAnsi="Calibri"/>
          <w:sz w:val="17"/>
          <w:szCs w:val="17"/>
        </w:rPr>
        <w:t xml:space="preserve">Frequency: Once per shift on each tank; hourly during commissioning and after any upset.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tank 1 then tank 2 in sequence.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each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the sample for resin beads over the 0.9 mm sieve and report any carry-over.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Determine pH and free cyanide in the field.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Filter and bottle for WAD cyanide and metal assay.</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both tanks on one profile sheet against the reading from the online cyanide analyser.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Burette, pipette, conical flask, stand and wash bottle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0.9 mm sieve for resin check</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14. Cyanide Adsorption 1 &amp; 2 Tank Sampling [LIVE]</w:t>
      </w:r>
    </w:p>
    <w:p>
      <w:pPr>
        <w:pStyle w:val="ListParagraph"/>
        <w:numPr>
          <w:ilvl w:val="0"/>
          <w:numId w:val="1"/>
        </w:numPr>
        <w:spacing w:after="60" w:line="245"/>
      </w:pPr>
      <w:r>
        <w:rPr>
          <w:rFonts w:ascii="Calibri" w:cs="Calibri" w:eastAsia="Calibri" w:hAnsi="Calibri"/>
          <w:sz w:val="17"/>
          <w:szCs w:val="17"/>
        </w:rPr>
        <w:t xml:space="preserve">KBK-MIR-MP-PRO-MET-SOP-0049, received 11 Aug 2026</w:t>
      </w:r>
    </w:p>
    <w:p>
      <w:pPr>
        <w:pStyle w:val="ListParagraph"/>
        <w:numPr>
          <w:ilvl w:val="0"/>
          <w:numId w:val="1"/>
        </w:numPr>
        <w:spacing w:after="60" w:line="245"/>
      </w:pPr>
      <w:r>
        <w:rPr>
          <w:rFonts w:ascii="Calibri" w:cs="Calibri" w:eastAsia="Calibri" w:hAnsi="Calibri"/>
          <w:sz w:val="17"/>
          <w:szCs w:val="17"/>
        </w:rPr>
        <w:t xml:space="preserve">KBK SOP-PROC-CNREC-01 and CNREC-12 Fresh resin conditioning, received 11 Aug 2026</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(051-SC-005/006/020), received 11 Aug 2026</w:t>
      </w:r>
    </w:p>
    <w:p>
      <w:pPr>
        <w:pStyle w:val="ListParagraph"/>
        <w:numPr>
          <w:ilvl w:val="0"/>
          <w:numId w:val="1"/>
        </w:numPr>
        <w:spacing w:after="60" w:line="245"/>
      </w:pPr>
      <w:r>
        <w:rPr>
          <w:rFonts w:ascii="Calibri" w:cs="Calibri" w:eastAsia="Calibri" w:hAnsi="Calibri"/>
          <w:sz w:val="17"/>
          <w:szCs w:val="17"/>
        </w:rPr>
        <w:t xml:space="preserve">HM-PRC-V01-PRO007 Cyanide Adsorption Circuit (ReCYN) and Resin Transfer</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JSEA-PRO-MET-201-010  ·  Cyanide Adsorption Sampling Round - 051-TK-009 and 051-TK-010 (ReCYN)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