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Loaded and Barren Resin Sampling at Screens and Hoppers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SWI-PRO-MET-201-012  Loaded and Barren Resin Sampling at Screens and Hoppers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041 / 051 / 071 / 081 Resin circuits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JSEA-PRO-MET-201-012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loaded and barren resin sampling at screens and hoppers in 041 / 051 / 071 / 081 Resin circuits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Set the metal loading on resin leaving adsorption and the residual loading on resin returning from elution.</w:t>
      </w:r>
    </w:p>
    <w:p>
      <w:pPr>
        <w:pStyle w:val="ListParagraph"/>
        <w:numPr>
          <w:ilvl w:val="0"/>
          <w:numId w:val="1"/>
        </w:numPr>
        <w:spacing w:after="60" w:line="245"/>
      </w:pPr>
      <w:r>
        <w:rPr>
          <w:rFonts w:ascii="Calibri" w:cs="Calibri" w:eastAsia="Calibri" w:hAnsi="Calibri"/>
          <w:sz w:val="17"/>
          <w:szCs w:val="17"/>
        </w:rPr>
        <w:t xml:space="preserve">The loaded-to-barren pair is the direct measure of elution efficiency on the resin circuit.</w:t>
      </w:r>
    </w:p>
    <w:p>
      <w:pPr>
        <w:spacing w:after="60" w:before="0" w:line="245"/>
      </w:pPr>
      <w:r>
        <w:rPr>
          <w:rFonts w:ascii="Calibri" w:cs="Calibri" w:eastAsia="Calibri" w:hAnsi="Calibri"/>
          <w:sz w:val="17"/>
          <w:szCs w:val="17"/>
        </w:rPr>
        <w:t xml:space="preserve">It is read with work instruction SWI-PRO-MET-201-012, which gives the step-by-step method, and with HM-PRC-VXX-PRO205 Plant Sampling and Metallurgical Data Collection,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with the control room that a resin transfer is in progress and which direction it is running.</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Splash of cyanide-bearing slurry or solution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Sample the screen oversize as the resin discharges, taking increments across the whole transfer rather than one grab.</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Fall from a tank top, launder platform, column platform or access ladder</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Wash the resin free of slurry over the 0.9 mm sieve.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Slip, trip or fall on wet or slurry-covered walkways around sample points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Bottle, label with the transfer number and direction, and submit to the laboratory.</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30" w:line="235"/>
            </w:pPr>
            <w:r>
              <w:rPr>
                <w:rFonts w:ascii="Calibri" w:cs="Calibri" w:eastAsia="Calibri" w:hAnsi="Calibri"/>
                <w:sz w:val="15"/>
                <w:szCs w:val="15"/>
              </w:rPr>
              <w:t xml:space="preserve">Non-representative sample leading to a wrong process decision</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3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Record transfer number, direction, volume and time against the sample.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041-SC-004 / 041-SC-016</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Metal adsorption resin recovery and safety screens</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051-SC-005 / 051-SC-006 / 051-SC-020</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Cyanide adsorption resin screens</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041-HP-017</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Metal loaded resin hopper</w:t>
            </w:r>
          </w:p>
        </w:tc>
      </w:tr>
    </w:tbl>
    <w:p>
      <w:pPr>
        <w:spacing w:after="60" w:before="0" w:line="245"/>
      </w:pPr>
    </w:p>
    <w:p>
      <w:pPr>
        <w:spacing w:after="60" w:before="0" w:line="245"/>
      </w:pPr>
      <w:r>
        <w:rPr>
          <w:rFonts w:ascii="Calibri" w:cs="Calibri" w:eastAsia="Calibri" w:hAnsi="Calibri"/>
          <w:sz w:val="17"/>
          <w:szCs w:val="17"/>
        </w:rPr>
        <w:t xml:space="preserve">Frequency: Every resin transfer, both directions.</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with the control room that a resin transfer is in progress and which direction it is running.</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Sample the screen oversize as the resin discharges, taking increments across the whole transfer rather than one grab.</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Wash the resin free of slurry over the 0.9 mm sieve.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Bottle, label with the transfer number and direction, and submit to the laboratory.</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Record transfer number, direction, volume and time against the sample.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scoop or cutter</w:t>
      </w:r>
    </w:p>
    <w:p>
      <w:pPr>
        <w:pStyle w:val="ListParagraph"/>
        <w:numPr>
          <w:ilvl w:val="0"/>
          <w:numId w:val="1"/>
        </w:numPr>
        <w:spacing w:after="60" w:line="245"/>
      </w:pPr>
      <w:r>
        <w:rPr>
          <w:rFonts w:ascii="Calibri" w:cs="Calibri" w:eastAsia="Calibri" w:hAnsi="Calibri"/>
          <w:sz w:val="17"/>
          <w:szCs w:val="17"/>
        </w:rPr>
        <w:t xml:space="preserve">0.9 mm sieve</w:t>
      </w:r>
    </w:p>
    <w:p>
      <w:pPr>
        <w:pStyle w:val="ListParagraph"/>
        <w:numPr>
          <w:ilvl w:val="0"/>
          <w:numId w:val="1"/>
        </w:numPr>
        <w:spacing w:after="60" w:line="245"/>
      </w:pPr>
      <w:r>
        <w:rPr>
          <w:rFonts w:ascii="Calibri" w:cs="Calibri" w:eastAsia="Calibri" w:hAnsi="Calibri"/>
          <w:sz w:val="17"/>
          <w:szCs w:val="17"/>
        </w:rPr>
        <w:t xml:space="preserve">Sample bottles, labelled</w:t>
      </w:r>
    </w:p>
    <w:p>
      <w:pPr>
        <w:pStyle w:val="ListParagraph"/>
        <w:numPr>
          <w:ilvl w:val="0"/>
          <w:numId w:val="1"/>
        </w:numPr>
        <w:spacing w:after="60" w:line="245"/>
      </w:pPr>
      <w:r>
        <w:rPr>
          <w:rFonts w:ascii="Calibri" w:cs="Calibri" w:eastAsia="Calibri" w:hAnsi="Calibri"/>
          <w:sz w:val="17"/>
          <w:szCs w:val="17"/>
        </w:rPr>
        <w:t xml:space="preserve">Process water hose</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SWI-PRO-MET-201-012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SWI-PRO-MET-201-012.</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Mt. Morgan site procedure 9. Metal Elution Sampling [LIVE] - covers part of this task</w:t>
      </w:r>
    </w:p>
    <w:p>
      <w:pPr>
        <w:pStyle w:val="ListParagraph"/>
        <w:numPr>
          <w:ilvl w:val="0"/>
          <w:numId w:val="1"/>
        </w:numPr>
        <w:spacing w:after="60" w:line="245"/>
      </w:pPr>
      <w:r>
        <w:rPr>
          <w:rFonts w:ascii="Calibri" w:cs="Calibri" w:eastAsia="Calibri" w:hAnsi="Calibri"/>
          <w:sz w:val="17"/>
          <w:szCs w:val="17"/>
        </w:rPr>
        <w:t xml:space="preserve">KBK SOP-PROC-CNREC-01, -04, -06 and -07 resin transfer procedures, received 11 Aug 2026</w:t>
      </w:r>
    </w:p>
    <w:p>
      <w:pPr>
        <w:pStyle w:val="ListParagraph"/>
        <w:numPr>
          <w:ilvl w:val="0"/>
          <w:numId w:val="1"/>
        </w:numPr>
        <w:spacing w:after="60" w:line="245"/>
      </w:pPr>
      <w:r>
        <w:rPr>
          <w:rFonts w:ascii="Calibri" w:cs="Calibri" w:eastAsia="Calibri" w:hAnsi="Calibri"/>
          <w:sz w:val="17"/>
          <w:szCs w:val="17"/>
        </w:rPr>
        <w:t xml:space="preserve">KBK-MIR-MP-PRO-MET-SOP-0049 and SOP-0058, received 11 Aug 2026</w:t>
      </w:r>
    </w:p>
    <w:p>
      <w:pPr>
        <w:pStyle w:val="ListParagraph"/>
        <w:numPr>
          <w:ilvl w:val="0"/>
          <w:numId w:val="1"/>
        </w:numPr>
        <w:spacing w:after="60" w:line="245"/>
      </w:pPr>
      <w:r>
        <w:rPr>
          <w:rFonts w:ascii="Calibri" w:cs="Calibri" w:eastAsia="Calibri" w:hAnsi="Calibri"/>
          <w:sz w:val="17"/>
          <w:szCs w:val="17"/>
        </w:rPr>
        <w:t xml:space="preserve">4034-004-VE-025 Rev B Goldquip vibrating screen IOM, received 11 Aug 2026</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JSEA-PRO-MET-201-012  ·  Loaded and Barren Resin Sampling at Screens and Hoppers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