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Gold Elution, Electrowinning and Pre-Soak Solution Sampling</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SWI-PRO-MET-201-013  Gold Elution, Electrowinning and Pre-Soak Solution Sampling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061 / 062 Gold recovery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gold elution, electrowinning and pre-soak solution sampling in 061 / 062 Gold recovery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Track the gold through the elution batch - pre-soak, eluate, electrowinning feed and barren electrolyte.</w:t>
      </w:r>
    </w:p>
    <w:p>
      <w:pPr>
        <w:pStyle w:val="ListParagraph"/>
        <w:numPr>
          <w:ilvl w:val="0"/>
          <w:numId w:val="1"/>
        </w:numPr>
        <w:spacing w:after="60" w:line="245"/>
      </w:pPr>
      <w:r>
        <w:rPr>
          <w:rFonts w:ascii="Calibri" w:cs="Calibri" w:eastAsia="Calibri" w:hAnsi="Calibri"/>
          <w:sz w:val="17"/>
          <w:szCs w:val="17"/>
        </w:rPr>
        <w:t xml:space="preserve">The eluate-to-barren-electrolyte pair sets electrowinning efficiency and gold in circuit.</w:t>
      </w:r>
    </w:p>
    <w:p>
      <w:pPr>
        <w:spacing w:after="60" w:before="0" w:line="245"/>
      </w:pPr>
      <w:r>
        <w:rPr>
          <w:rFonts w:ascii="Calibri" w:cs="Calibri" w:eastAsia="Calibri" w:hAnsi="Calibri"/>
          <w:sz w:val="17"/>
          <w:szCs w:val="17"/>
        </w:rPr>
        <w:t xml:space="preserve">It is read with work instruction SWI-PRO-MET-201-013,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where the batch is in the elution sequence before approaching.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Mercury vapour in the gold room, elution and retort areas</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Do NOT sample a column that is under pressure or on a heating cycle. Confirm the circuit is at the sampling condition stated in the elution procedure.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Flush the sample line and let the first flow discharge to drain until the temperature at the point is steady.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Collect into a heat-resistant bottle held below the point, not in line with the discharge.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Allow the sample to cool before taking pH or titrating - a hot cyanide solution releases HCN faster and gives a false reading.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Bottle and label for gold, silver and copper assay.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Mercury vapour in the gold room, elution and retort areas</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batch number, elution stage, solution temperature and flow at the time of sampling.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Mercury vapour in the gold room, elution and retort areas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Area ventilation confirmed running before entry. Mercury vapour monitoring where the site procedure requires it. No eating, drinking or smoking. Hands washed before leaving the area.</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Face shield</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061-TK-060</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Pre-soak / eluate tank</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061-CL-010</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Acid wash column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061-HX-001 / 061-HX-002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Elution heat exchangers - solution temperature read at sampling</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062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Electrowinning cells - feed and barren electrolyte</w:t>
            </w:r>
          </w:p>
        </w:tc>
      </w:tr>
    </w:tbl>
    <w:p>
      <w:pPr>
        <w:spacing w:after="60" w:before="0" w:line="245"/>
      </w:pPr>
    </w:p>
    <w:p>
      <w:pPr>
        <w:spacing w:after="60" w:before="0" w:line="245"/>
      </w:pPr>
      <w:r>
        <w:rPr>
          <w:rFonts w:ascii="Calibri" w:cs="Calibri" w:eastAsia="Calibri" w:hAnsi="Calibri"/>
          <w:sz w:val="17"/>
          <w:szCs w:val="17"/>
        </w:rPr>
        <w:t xml:space="preserve">Frequency: Each elution batch - pre-soak, mid-strip, end-of-strip, and electrowinning feed and barren each shift the cells are running.</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where the batch is in the elution sequence before approaching.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Do NOT sample a column that is under pressure or on a heating cycle. Confirm the circuit is at the sampling condition stated in the elution procedure.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Flush the sample line and let the first flow discharge to drain until the temperature at the point is steady.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Collect into a heat-resistant bottle held below the point, not in line with the discharge.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Allow the sample to cool before taking pH or titrating - a hot cyanide solution releases HCN faster and gives a false reading.</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Bottle and label for gold, silver and copper assay.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batch number, elution stage, solution temperature and flow at the time of sampling.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bottles 250 mL, heat-resistant</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Thermometer or infrared thermometer</w:t>
      </w:r>
    </w:p>
    <w:p>
      <w:pPr>
        <w:pStyle w:val="ListParagraph"/>
        <w:numPr>
          <w:ilvl w:val="0"/>
          <w:numId w:val="1"/>
        </w:numPr>
        <w:spacing w:after="60" w:line="245"/>
      </w:pPr>
      <w:r>
        <w:rPr>
          <w:rFonts w:ascii="Calibri" w:cs="Calibri" w:eastAsia="Calibri" w:hAnsi="Calibri"/>
          <w:sz w:val="17"/>
          <w:szCs w:val="17"/>
        </w:rPr>
        <w:t xml:space="preserve">Free cyanide titration kit and rhodanine indicator</w:t>
      </w:r>
    </w:p>
    <w:p>
      <w:pPr>
        <w:pStyle w:val="ListParagraph"/>
        <w:numPr>
          <w:ilvl w:val="0"/>
          <w:numId w:val="1"/>
        </w:numPr>
        <w:spacing w:after="60" w:line="245"/>
      </w:pPr>
      <w:r>
        <w:rPr>
          <w:rFonts w:ascii="Calibri" w:cs="Calibri" w:eastAsia="Calibri" w:hAnsi="Calibri"/>
          <w:sz w:val="17"/>
          <w:szCs w:val="17"/>
        </w:rPr>
        <w:t xml:space="preserve">Filter paper and funnel</w:t>
      </w:r>
    </w:p>
    <w:p>
      <w:pPr>
        <w:pStyle w:val="ListParagraph"/>
        <w:numPr>
          <w:ilvl w:val="0"/>
          <w:numId w:val="1"/>
        </w:numPr>
        <w:spacing w:after="60" w:line="245"/>
      </w:pPr>
      <w:r>
        <w:rPr>
          <w:rFonts w:ascii="Calibri" w:cs="Calibri" w:eastAsia="Calibri" w:hAnsi="Calibri"/>
          <w:sz w:val="17"/>
          <w:szCs w:val="17"/>
        </w:rPr>
        <w:t xml:space="preserve">Personal protective equipment as Section 5, including heat-resistant gloves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SWI-PRO-MET-201-013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SWI-PRO-MET-201-013.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Gold Recovery table</w:t>
      </w:r>
    </w:p>
    <w:p>
      <w:pPr>
        <w:pStyle w:val="ListParagraph"/>
        <w:numPr>
          <w:ilvl w:val="0"/>
          <w:numId w:val="1"/>
        </w:numPr>
        <w:spacing w:after="60" w:line="245"/>
      </w:pPr>
      <w:r>
        <w:rPr>
          <w:rFonts w:ascii="Calibri" w:cs="Calibri" w:eastAsia="Calibri" w:hAnsi="Calibri"/>
          <w:sz w:val="17"/>
          <w:szCs w:val="17"/>
        </w:rPr>
        <w:t xml:space="preserve">4034-013-VE-028 Rev A Applied Heat Thermomat 2300 O&amp;M manual (061-BR-001, 061-HE-001, 061-HX-001/002, 061-PP-022, 061-TK-060), received 11 Aug 2026</w:t>
      </w:r>
    </w:p>
    <w:p>
      <w:pPr>
        <w:pStyle w:val="ListParagraph"/>
        <w:numPr>
          <w:ilvl w:val="0"/>
          <w:numId w:val="1"/>
        </w:numPr>
        <w:spacing w:after="60" w:line="245"/>
      </w:pPr>
      <w:r>
        <w:rPr>
          <w:rFonts w:ascii="Calibri" w:cs="Calibri" w:eastAsia="Calibri" w:hAnsi="Calibri"/>
          <w:sz w:val="17"/>
          <w:szCs w:val="17"/>
        </w:rPr>
        <w:t xml:space="preserve">HM-PRC-V01-PRO010 Gold Elution Pre-Soak Mixing, PRO011 Gold Elution, PRO013 Gold Electrowinning</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JSEA-PRO-MET-201-013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JSEA-PRO-MET-201-013  ·  Gold Elution, Electrowinning and Pre-Soak Solution Sampling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