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Copper Elution, Reactor and Thickener Sampling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SWI-PRO-MET-201-014  Copper Elution, Reactor and Thickener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071 Copper Elution and Precipitation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copper elution, reactor and thickener sampling in 071 Copper Elution and Precipitation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copper precipitation solids percentage and pH.</w:t>
      </w:r>
    </w:p>
    <w:p>
      <w:pPr>
        <w:pStyle w:val="ListParagraph"/>
        <w:numPr>
          <w:ilvl w:val="0"/>
          <w:numId w:val="1"/>
        </w:numPr>
        <w:spacing w:after="60" w:line="245"/>
      </w:pPr>
      <w:r>
        <w:rPr>
          <w:rFonts w:ascii="Calibri" w:cs="Calibri" w:eastAsia="Calibri" w:hAnsi="Calibri"/>
          <w:sz w:val="17"/>
          <w:szCs w:val="17"/>
        </w:rPr>
        <w:t xml:space="preserve">Set free and WAD cyanide on the copper circuit.</w:t>
      </w:r>
    </w:p>
    <w:p>
      <w:pPr>
        <w:pStyle w:val="ListParagraph"/>
        <w:numPr>
          <w:ilvl w:val="0"/>
          <w:numId w:val="1"/>
        </w:numPr>
        <w:spacing w:after="60" w:line="245"/>
      </w:pPr>
      <w:r>
        <w:rPr>
          <w:rFonts w:ascii="Calibri" w:cs="Calibri" w:eastAsia="Calibri" w:hAnsi="Calibri"/>
          <w:sz w:val="17"/>
          <w:szCs w:val="17"/>
        </w:rPr>
        <w:t xml:space="preserve">Set the solution and solid assay - Cl, Au, Ag and Cu - across elution, the reactor and the thickener.</w:t>
      </w:r>
    </w:p>
    <w:p>
      <w:pPr>
        <w:spacing w:after="60" w:before="0" w:line="245"/>
      </w:pPr>
      <w:r>
        <w:rPr>
          <w:rFonts w:ascii="Calibri" w:cs="Calibri" w:eastAsia="Calibri" w:hAnsi="Calibri"/>
          <w:sz w:val="17"/>
          <w:szCs w:val="17"/>
        </w:rPr>
        <w:t xml:space="preserve">It is read with work instruction SWI-PRO-MET-201-014,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with the control room whether acid or sodium hydrosulphide dosing is in progress. Do NOT sample the reactor while NaSH is being dosed - hydrogen sulphide is released on acid contact.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Hydrogen sulphide released from sodium hydrosulphide or from an acidified sulphide stream</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Personal multi-gas monitor including H2S worn and in calibration date. Area ventilation confirmed running. Two people, one clear. Withdraw upwind on any alarm. No sampling of the NaSH circuit during acid dosing.</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Flush the point and discard the first flow.</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Collect the sample and determine pH immediately. The reactor runs at pH 3 to 5 on 10 per cent w/v sulphuric acid, so this stream is acidic and will release HCN on contact with any cyanide-bearing carry-over.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Hydrogen sulphide released from sodium hydrosulphide or from an acidified sulphide stream</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Personal multi-gas monitor including H2S worn and in calibration date. Area ventilation confirmed running. Two people, one clear. Withdraw upwind on any alarm. No sampling of the NaSH circuit during acid dosing.</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Determine total suspended solids with the TSS meter.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Titrate free cyanide and bottle the laboratory split for WAD cyanide.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Filter for solution and solid assay and submit both.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acid and NaSH dose rates at the time of sampling.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sulphide released from sodium hydrosulphide or from an acidified sulphide stream</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multi-gas monitor including H2S worn and in calibration date. Area ventilation confirmed running. Two people, one clear. Withdraw upwind on any alarm. No sampling of the NaSH circuit during acid dosing.</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ListParagraph"/>
        <w:numPr>
          <w:ilvl w:val="0"/>
          <w:numId w:val="1"/>
        </w:numPr>
        <w:spacing w:after="60" w:line="245"/>
      </w:pPr>
      <w:r>
        <w:rPr>
          <w:rFonts w:ascii="Calibri" w:cs="Calibri" w:eastAsia="Calibri" w:hAnsi="Calibri"/>
          <w:sz w:val="17"/>
          <w:szCs w:val="17"/>
        </w:rPr>
        <w:t xml:space="preserve">Personal multi-gas monitor including H2S, calibrated and in test date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071-CL-002 / 071-CL-003</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Copper elution columns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Copper reactor tank</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Precipitation under agitation - acid and NaSH dosed</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Copper thickener</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Underflow and overflow</w:t>
            </w:r>
          </w:p>
        </w:tc>
      </w:tr>
    </w:tbl>
    <w:p>
      <w:pPr>
        <w:spacing w:after="60" w:before="0" w:line="245"/>
      </w:pPr>
    </w:p>
    <w:p>
      <w:pPr>
        <w:spacing w:after="60" w:before="0" w:line="245"/>
      </w:pPr>
      <w:r>
        <w:rPr>
          <w:rFonts w:ascii="Calibri" w:cs="Calibri" w:eastAsia="Calibri" w:hAnsi="Calibri"/>
          <w:sz w:val="17"/>
          <w:szCs w:val="17"/>
        </w:rPr>
        <w:t xml:space="preserve">Frequency: Each elution batch on the columns; hourly on the reactor and thickener while precipitating.</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whether acid or sodium hydrosulphide dosing is in progress. Do NOT sample the reactor while NaSH is being dosed - hydrogen sulphide is released on acid contact.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Flush the point and discard the first 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Collect the sample and determine pH immediately. The reactor runs at pH 3 to 5 on 10 per cent w/v sulphuric acid, so this stream is acidic and will release HCN on contact with any cyanide-bearing carry-over.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total suspended solids with the TSS meter.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Titrate free cyanide and bottle the laboratory split for WAD cyanide.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Filter for solution and solid assay and submit both.</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acid and NaSH dose rates at the time of sampling.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TSS meter</w:t>
      </w:r>
    </w:p>
    <w:p>
      <w:pPr>
        <w:pStyle w:val="ListParagraph"/>
        <w:numPr>
          <w:ilvl w:val="0"/>
          <w:numId w:val="1"/>
        </w:numPr>
        <w:spacing w:after="60" w:line="245"/>
      </w:pPr>
      <w:r>
        <w:rPr>
          <w:rFonts w:ascii="Calibri" w:cs="Calibri" w:eastAsia="Calibri" w:hAnsi="Calibri"/>
          <w:sz w:val="17"/>
          <w:szCs w:val="17"/>
        </w:rPr>
        <w:t xml:space="preserve">Free cyanide titration kit - AgNO3</w:t>
      </w:r>
    </w:p>
    <w:p>
      <w:pPr>
        <w:pStyle w:val="ListParagraph"/>
        <w:numPr>
          <w:ilvl w:val="0"/>
          <w:numId w:val="1"/>
        </w:numPr>
        <w:spacing w:after="60" w:line="245"/>
      </w:pPr>
      <w:r>
        <w:rPr>
          <w:rFonts w:ascii="Calibri" w:cs="Calibri" w:eastAsia="Calibri" w:hAnsi="Calibri"/>
          <w:sz w:val="17"/>
          <w:szCs w:val="17"/>
        </w:rPr>
        <w:t xml:space="preserve">Rhodanine indicator</w:t>
      </w:r>
    </w:p>
    <w:p>
      <w:pPr>
        <w:pStyle w:val="ListParagraph"/>
        <w:numPr>
          <w:ilvl w:val="0"/>
          <w:numId w:val="1"/>
        </w:numPr>
        <w:spacing w:after="60" w:line="245"/>
      </w:pPr>
      <w:r>
        <w:rPr>
          <w:rFonts w:ascii="Calibri" w:cs="Calibri" w:eastAsia="Calibri" w:hAnsi="Calibri"/>
          <w:sz w:val="17"/>
          <w:szCs w:val="17"/>
        </w:rPr>
        <w:t xml:space="preserve">Burette 50 mL, pipette 10 or 25 mL, conical flask 250 mL, stand and wash bottle</w:t>
      </w:r>
    </w:p>
    <w:p>
      <w:pPr>
        <w:pStyle w:val="ListParagraph"/>
        <w:numPr>
          <w:ilvl w:val="0"/>
          <w:numId w:val="1"/>
        </w:numPr>
        <w:spacing w:after="60" w:line="245"/>
      </w:pPr>
      <w:r>
        <w:rPr>
          <w:rFonts w:ascii="Calibri" w:cs="Calibri" w:eastAsia="Calibri" w:hAnsi="Calibri"/>
          <w:sz w:val="17"/>
          <w:szCs w:val="17"/>
        </w:rPr>
        <w:t xml:space="preserve">Lead nitrate</w:t>
      </w:r>
    </w:p>
    <w:p>
      <w:pPr>
        <w:pStyle w:val="ListParagraph"/>
        <w:numPr>
          <w:ilvl w:val="0"/>
          <w:numId w:val="1"/>
        </w:numPr>
        <w:spacing w:after="60" w:line="245"/>
      </w:pPr>
      <w:r>
        <w:rPr>
          <w:rFonts w:ascii="Calibri" w:cs="Calibri" w:eastAsia="Calibri" w:hAnsi="Calibri"/>
          <w:sz w:val="17"/>
          <w:szCs w:val="17"/>
        </w:rPr>
        <w:t xml:space="preserve">Beaker 50 mL</w:t>
      </w:r>
    </w:p>
    <w:p>
      <w:pPr>
        <w:pStyle w:val="ListParagraph"/>
        <w:numPr>
          <w:ilvl w:val="0"/>
          <w:numId w:val="1"/>
        </w:numPr>
        <w:spacing w:after="60" w:line="245"/>
      </w:pPr>
      <w:r>
        <w:rPr>
          <w:rFonts w:ascii="Calibri" w:cs="Calibri" w:eastAsia="Calibri" w:hAnsi="Calibri"/>
          <w:sz w:val="17"/>
          <w:szCs w:val="17"/>
        </w:rPr>
        <w:t xml:space="preserve">Bottles 250 mL</w:t>
      </w:r>
    </w:p>
    <w:p>
      <w:pPr>
        <w:pStyle w:val="ListParagraph"/>
        <w:numPr>
          <w:ilvl w:val="0"/>
          <w:numId w:val="1"/>
        </w:numPr>
        <w:spacing w:after="60" w:line="245"/>
      </w:pPr>
      <w:r>
        <w:rPr>
          <w:rFonts w:ascii="Calibri" w:cs="Calibri" w:eastAsia="Calibri" w:hAnsi="Calibri"/>
          <w:sz w:val="17"/>
          <w:szCs w:val="17"/>
        </w:rPr>
        <w:t xml:space="preserve">Bucket 1 litre</w:t>
      </w:r>
    </w:p>
    <w:p>
      <w:pPr>
        <w:pStyle w:val="ListParagraph"/>
        <w:numPr>
          <w:ilvl w:val="0"/>
          <w:numId w:val="1"/>
        </w:numPr>
        <w:spacing w:after="60" w:line="245"/>
      </w:pPr>
      <w:r>
        <w:rPr>
          <w:rFonts w:ascii="Calibri" w:cs="Calibri" w:eastAsia="Calibri" w:hAnsi="Calibri"/>
          <w:sz w:val="17"/>
          <w:szCs w:val="17"/>
        </w:rPr>
        <w:t xml:space="preserve">Filter press, filter paper</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procedures 10. Copper Reactor Tank Sampling and 11. Copper Thickener Underflow Sampling [LIVE]</w:t>
      </w:r>
    </w:p>
    <w:p>
      <w:pPr>
        <w:pStyle w:val="ListParagraph"/>
        <w:numPr>
          <w:ilvl w:val="0"/>
          <w:numId w:val="1"/>
        </w:numPr>
        <w:spacing w:after="60" w:line="245"/>
      </w:pPr>
      <w:r>
        <w:rPr>
          <w:rFonts w:ascii="Calibri" w:cs="Calibri" w:eastAsia="Calibri" w:hAnsi="Calibri"/>
          <w:sz w:val="17"/>
          <w:szCs w:val="17"/>
        </w:rPr>
        <w:t xml:space="preserve">KBK SOP-PROC-CNREC-05 Metal elution and CNREC-09 Filtration of copper precipitation, received 11 Aug 2026</w:t>
      </w:r>
    </w:p>
    <w:p>
      <w:pPr>
        <w:pStyle w:val="ListParagraph"/>
        <w:numPr>
          <w:ilvl w:val="0"/>
          <w:numId w:val="1"/>
        </w:numPr>
        <w:spacing w:after="60" w:line="245"/>
      </w:pPr>
      <w:r>
        <w:rPr>
          <w:rFonts w:ascii="Calibri" w:cs="Calibri" w:eastAsia="Calibri" w:hAnsi="Calibri"/>
          <w:sz w:val="17"/>
          <w:szCs w:val="17"/>
        </w:rPr>
        <w:t xml:space="preserve">4034-017-VE-096 Rev B Goldquip fabricated ReCYN column IOM (071-CL-002/003), received 11 Aug 2026</w:t>
      </w:r>
    </w:p>
    <w:p>
      <w:pPr>
        <w:pStyle w:val="ListParagraph"/>
        <w:numPr>
          <w:ilvl w:val="0"/>
          <w:numId w:val="1"/>
        </w:numPr>
        <w:spacing w:after="60" w:line="245"/>
      </w:pPr>
      <w:r>
        <w:rPr>
          <w:rFonts w:ascii="Calibri" w:cs="Calibri" w:eastAsia="Calibri" w:hAnsi="Calibri"/>
          <w:sz w:val="17"/>
          <w:szCs w:val="17"/>
        </w:rPr>
        <w:t xml:space="preserve">4034-024-VE-061 Rev 0 AirEng cyanide scrubbing column No.1 exhaust fan IOM (071-FA-008), received 11 Aug 2026</w:t>
      </w:r>
    </w:p>
    <w:p>
      <w:pPr>
        <w:pStyle w:val="ListParagraph"/>
        <w:numPr>
          <w:ilvl w:val="0"/>
          <w:numId w:val="1"/>
        </w:numPr>
        <w:spacing w:after="60" w:line="245"/>
      </w:pPr>
      <w:r>
        <w:rPr>
          <w:rFonts w:ascii="Calibri" w:cs="Calibri" w:eastAsia="Calibri" w:hAnsi="Calibri"/>
          <w:sz w:val="17"/>
          <w:szCs w:val="17"/>
        </w:rPr>
        <w:t xml:space="preserve">HM-PRC-V01-PRO014, PRO015 and PRO016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JSEA-PRO-MET-201-014  ·  Copper Elution, Reactor and Thickener Sampling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