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Reagent Solution Strength Sampling - NaCN, NaOH, H2SO4, NaCl, Lime and NaSH</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SWI-PRO-MET-201-020  Reagent Solution Strength Sampling - NaCN, NaOH, H2SO4, NaCl, Lime and NaSH</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101 to 107 Reagents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JSEA-PRO-MET-201-020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reagent solution strength sampling - nacn, naoh, h2so4, nacl, lime and nash in 101 to 107 Reagents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Confirm every made-up reagent is at the strength the process assumes before it is dosed.</w:t>
      </w:r>
    </w:p>
    <w:p>
      <w:pPr>
        <w:pStyle w:val="ListParagraph"/>
        <w:numPr>
          <w:ilvl w:val="0"/>
          <w:numId w:val="1"/>
        </w:numPr>
        <w:spacing w:after="60" w:line="245"/>
      </w:pPr>
      <w:r>
        <w:rPr>
          <w:rFonts w:ascii="Calibri" w:cs="Calibri" w:eastAsia="Calibri" w:hAnsi="Calibri"/>
          <w:sz w:val="17"/>
          <w:szCs w:val="17"/>
        </w:rPr>
        <w:t xml:space="preserve">A reagent made up off-strength is dosed at the wrong rate everywhere it is used, and the error is not visible until the circuit drifts.</w:t>
      </w:r>
    </w:p>
    <w:p>
      <w:pPr>
        <w:spacing w:after="60" w:before="0" w:line="245"/>
      </w:pPr>
      <w:r>
        <w:rPr>
          <w:rFonts w:ascii="Calibri" w:cs="Calibri" w:eastAsia="Calibri" w:hAnsi="Calibri"/>
          <w:sz w:val="17"/>
          <w:szCs w:val="17"/>
        </w:rPr>
        <w:t xml:space="preserve">It is read with work instruction SWI-PRO-MET-201-020,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Read the reagent-specific site sampling procedure before starting - the PPE and the approach differ between cyanide, acid, caustic and NaSH.</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Contact with sodium hydroxide solution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NEVER use a container that has held a different reagent. Dedicated, labelled containers only.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For sodium cyanide solution, sample only from the designated valve with full cyanide PPE, including the gas mask with A2B2E2K2P3 cartridge available for immediate use.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For sodium cyanide briquettes, sample the solid with the dust controls in place and do not open the sample in an unventilated space.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For sulphuric acid and sodium hydroxide, sample slowly from the designated diluted-solution valve, never from the concentrated storage tank.</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Contact with sodium hydroxide solution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For sodium hydrosulphide, confirm no acid dosing is running anywhere that could contact the stream, and wear the multi-gas monitor including H2S.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Hydrogen sulphide released from sodium hydrosulphide or from an acidified sulphide stream</w:t>
            </w:r>
          </w:p>
          <w:p>
            <w:pPr>
              <w:spacing w:after="0" w:line="235"/>
            </w:pPr>
            <w:r>
              <w:rPr>
                <w:rFonts w:ascii="Calibri" w:cs="Calibri" w:eastAsia="Calibri" w:hAnsi="Calibri"/>
                <w:sz w:val="15"/>
                <w:szCs w:val="15"/>
              </w:rPr>
              <w:t xml:space="preserve">Working alone in a cyanide area where a collapse would not be seen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Personal multi-gas monitor including H2S worn and in calibration date. Area ventilation confirmed running. Two people, one clear. Withdraw upwind on any alarm. No sampling of the NaSH circuit during acid dosing.</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Titrate or measure density in the field where the method allows, and bottle the laboratory split for confirmation.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Contact with sodium hydroxide solution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batch number, make-up time, measured strength and the target strength against each sample. Report any batch outside the target range to the Shift Supervisor before it is dosed.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ListParagraph"/>
        <w:numPr>
          <w:ilvl w:val="0"/>
          <w:numId w:val="1"/>
        </w:numPr>
        <w:spacing w:after="60" w:line="245"/>
      </w:pPr>
      <w:r>
        <w:rPr>
          <w:rFonts w:ascii="Calibri" w:cs="Calibri" w:eastAsia="Calibri" w:hAnsi="Calibri"/>
          <w:sz w:val="17"/>
          <w:szCs w:val="17"/>
        </w:rPr>
        <w:t xml:space="preserve">Personal multi-gas monitor including H2S, calibrated and in test date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101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Sodium cyanide - solution and briquettes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102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Sodium hydroxide - diluted</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103</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Lime - slaked slurry</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104</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Sodium chloride - made-up solution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105</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Sulphuric acid - diluted</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107</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Sodium hydrosulphide - as delivered and dosed</w:t>
            </w:r>
          </w:p>
        </w:tc>
      </w:tr>
    </w:tbl>
    <w:p>
      <w:pPr>
        <w:spacing w:after="60" w:before="0" w:line="245"/>
      </w:pPr>
    </w:p>
    <w:p>
      <w:pPr>
        <w:spacing w:after="60" w:before="0" w:line="245"/>
      </w:pPr>
      <w:r>
        <w:rPr>
          <w:rFonts w:ascii="Calibri" w:cs="Calibri" w:eastAsia="Calibri" w:hAnsi="Calibri"/>
          <w:sz w:val="17"/>
          <w:szCs w:val="17"/>
        </w:rPr>
        <w:t xml:space="preserve">Frequency: Every batch made up, and once per shift on the standing solutions.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Read the reagent-specific site sampling procedure before starting - the PPE and the approach differ between cyanide, acid, caustic and NaSH.</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NEVER use a container that has held a different reagent. Dedicated, labelled containers only.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For sodium cyanide solution, sample only from the designated valve with full cyanide PPE, including the gas mask with A2B2E2K2P3 cartridge available for immediate use.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For sodium cyanide briquettes, sample the solid with the dust controls in place and do not open the sample in an unventilated space.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For sulphuric acid and sodium hydroxide, sample slowly from the designated diluted-solution valve, never from the concentrated storage tank.</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For sodium hydrosulphide, confirm no acid dosing is running anywhere that could contact the stream, and wear the multi-gas monitor including H2S.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Titrate or measure density in the field where the method allows, and bottle the laboratory split for confirmation.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batch number, make-up time, measured strength and the target strength against each sample. Report any batch outside the target range to the Shift Supervisor before it is dosed.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bottles 250 mL, one dedicated set per reagent</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Hydrometer or density meter</w:t>
      </w:r>
    </w:p>
    <w:p>
      <w:pPr>
        <w:pStyle w:val="ListParagraph"/>
        <w:numPr>
          <w:ilvl w:val="0"/>
          <w:numId w:val="1"/>
        </w:numPr>
        <w:spacing w:after="60" w:line="245"/>
      </w:pPr>
      <w:r>
        <w:rPr>
          <w:rFonts w:ascii="Calibri" w:cs="Calibri" w:eastAsia="Calibri" w:hAnsi="Calibri"/>
          <w:sz w:val="17"/>
          <w:szCs w:val="17"/>
        </w:rPr>
        <w:t xml:space="preserve">Titration set - burette, pipette, conical flask, stand, wash bottle</w:t>
      </w:r>
    </w:p>
    <w:p>
      <w:pPr>
        <w:pStyle w:val="ListParagraph"/>
        <w:numPr>
          <w:ilvl w:val="0"/>
          <w:numId w:val="1"/>
        </w:numPr>
        <w:spacing w:after="60" w:line="245"/>
      </w:pPr>
      <w:r>
        <w:rPr>
          <w:rFonts w:ascii="Calibri" w:cs="Calibri" w:eastAsia="Calibri" w:hAnsi="Calibri"/>
          <w:sz w:val="17"/>
          <w:szCs w:val="17"/>
        </w:rPr>
        <w:t xml:space="preserve">Standardised AgNO3 for cyanide; standardised HCl for caustic; standardised NaOH for acid</w:t>
      </w:r>
    </w:p>
    <w:p>
      <w:pPr>
        <w:pStyle w:val="ListParagraph"/>
        <w:numPr>
          <w:ilvl w:val="0"/>
          <w:numId w:val="1"/>
        </w:numPr>
        <w:spacing w:after="60" w:line="245"/>
      </w:pPr>
      <w:r>
        <w:rPr>
          <w:rFonts w:ascii="Calibri" w:cs="Calibri" w:eastAsia="Calibri" w:hAnsi="Calibri"/>
          <w:sz w:val="17"/>
          <w:szCs w:val="17"/>
        </w:rPr>
        <w:t xml:space="preserve">Rhodanine and phenolphthalein indicators</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Personal protective equipment as Section 5, matched to the reagent being sampled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SWI-PRO-MET-201-020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SWI-PRO-MET-201-020.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procedures 19. Sodium Cyanide Solution, 20. Sodium Cyanide Briquettes, 21. Diluted Sulphuric Acid and 22. Diluted Sodium Hydroxide Sampling [LIVE]</w:t>
      </w:r>
    </w:p>
    <w:p>
      <w:pPr>
        <w:pStyle w:val="ListParagraph"/>
        <w:numPr>
          <w:ilvl w:val="0"/>
          <w:numId w:val="1"/>
        </w:numPr>
        <w:spacing w:after="60" w:line="245"/>
      </w:pPr>
      <w:r>
        <w:rPr>
          <w:rFonts w:ascii="Calibri" w:cs="Calibri" w:eastAsia="Calibri" w:hAnsi="Calibri"/>
          <w:sz w:val="17"/>
          <w:szCs w:val="17"/>
        </w:rPr>
        <w:t xml:space="preserve">KBK-MIR-MP-PRO-MET-SOP-0009 caustic soda titration, SOP-0010 cyanide titration, SOP-0025 and SOP-0039/0040 hydrochloric acid titration, SOP-0041/0042 sulphuric acid titration and SOP-0043 AgNO3 standard preparation - the last six received 11 Aug 2026</w:t>
      </w:r>
    </w:p>
    <w:p>
      <w:pPr>
        <w:pStyle w:val="ListParagraph"/>
        <w:numPr>
          <w:ilvl w:val="0"/>
          <w:numId w:val="1"/>
        </w:numPr>
        <w:spacing w:after="60" w:line="245"/>
      </w:pPr>
      <w:r>
        <w:rPr>
          <w:rFonts w:ascii="Calibri" w:cs="Calibri" w:eastAsia="Calibri" w:hAnsi="Calibri"/>
          <w:sz w:val="17"/>
          <w:szCs w:val="17"/>
        </w:rPr>
        <w:t xml:space="preserve">KBK-MIR-MP-PRO-OPE-SOP-0076 Fasilitas Cyanide, received 11 Aug 2026</w:t>
      </w:r>
    </w:p>
    <w:p>
      <w:pPr>
        <w:pStyle w:val="ListParagraph"/>
        <w:numPr>
          <w:ilvl w:val="0"/>
          <w:numId w:val="1"/>
        </w:numPr>
        <w:spacing w:after="60" w:line="245"/>
      </w:pPr>
      <w:r>
        <w:rPr>
          <w:rFonts w:ascii="Calibri" w:cs="Calibri" w:eastAsia="Calibri" w:hAnsi="Calibri"/>
          <w:sz w:val="17"/>
          <w:szCs w:val="17"/>
        </w:rPr>
        <w:t xml:space="preserve">4034-046-VE-019 Rev A Transmin quicklime slaking plant functional description, received 11 Aug 2026</w:t>
      </w:r>
    </w:p>
    <w:p>
      <w:pPr>
        <w:pStyle w:val="ListParagraph"/>
        <w:numPr>
          <w:ilvl w:val="0"/>
          <w:numId w:val="1"/>
        </w:numPr>
        <w:spacing w:after="60" w:line="245"/>
      </w:pPr>
      <w:r>
        <w:rPr>
          <w:rFonts w:ascii="Calibri" w:cs="Calibri" w:eastAsia="Calibri" w:hAnsi="Calibri"/>
          <w:sz w:val="17"/>
          <w:szCs w:val="17"/>
        </w:rPr>
        <w:t xml:space="preserve">HM-PRC-V01-PRO021 to PRO027</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JSEA-PRO-MET-201-020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JSEA-PRO-MET-201-020  ·  Reagent Solution Strength Sampling - NaCN, NaOH, H2SO4, NaCl, Lime and NaSH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