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Free Cyanide Titration - Silver Nitrate Method</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JSEA-PRO-MET-205-001</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SWI-PRO-MET-205-001  Free Cyanide Titration - Silver Nitrate Method</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HM-PRC-VXX-PRO209  Metallurgical Laboratory Chemical and Leach Testwork</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205  Met Lab - Chemical and Leach Testwork</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JSEA-PRO-MET-205-001 in HM-MMM-WHS-REG-JSEA-PRO-updated_10, tab JSEA_MET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free cyanide titration - silver nitrate method in 205  Met Lab - Chemical and Leach Testwork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Determine free cyanide by titration against standardised silver nitrate.</w:t>
      </w:r>
    </w:p>
    <w:p>
      <w:pPr>
        <w:pStyle w:val="ListParagraph"/>
        <w:numPr>
          <w:ilvl w:val="0"/>
          <w:numId w:val="1"/>
        </w:numPr>
        <w:spacing w:after="60" w:line="245"/>
      </w:pPr>
      <w:r>
        <w:rPr>
          <w:rFonts w:ascii="Calibri" w:cs="Calibri" w:eastAsia="Calibri" w:hAnsi="Calibri"/>
          <w:sz w:val="17"/>
          <w:szCs w:val="17"/>
        </w:rPr>
        <w:t xml:space="preserve">Free cyanide is the single most important solution number on this plant - it drives dosing, recovery and the environmental obligation.</w:t>
      </w:r>
    </w:p>
    <w:p>
      <w:pPr>
        <w:spacing w:after="60" w:before="0" w:line="245"/>
      </w:pPr>
      <w:r>
        <w:rPr>
          <w:rFonts w:ascii="Calibri" w:cs="Calibri" w:eastAsia="Calibri" w:hAnsi="Calibri"/>
          <w:sz w:val="17"/>
          <w:szCs w:val="17"/>
        </w:rPr>
        <w:t xml:space="preserve">It is read with work instruction SWI-PRO-MET-205-001, which gives the step-by-step method, and with HM-PRC-VXX-PRO209 Metallurgical Laboratory Chemical and Leach Testwork,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Work in the fume cupboard with the airflow confirmed. Cyanide solutions release HCN, faster if the pH has dropped.</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0" w:line="235"/>
            </w:pPr>
            <w:r>
              <w:rPr>
                <w:rFonts w:ascii="Calibri" w:cs="Calibri" w:eastAsia="Calibri" w:hAnsi="Calibri"/>
                <w:sz w:val="15"/>
                <w:szCs w:val="15"/>
              </w:rPr>
              <w:t xml:space="preserve">Inhalation of acid fume or reagent vapour at the bench</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0" w:line="235"/>
            </w:pPr>
            <w:r>
              <w:rPr>
                <w:rFonts w:ascii="Calibri" w:cs="Calibri" w:eastAsia="Calibri" w:hAnsi="Calibri"/>
                <w:sz w:val="15"/>
                <w:szCs w:val="15"/>
              </w:rPr>
              <w:t xml:space="preserve">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Filter the sample if it is not already clear, and titrate as soon after filtration as possible to limit volatilisation loss.</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30" w:line="235"/>
            </w:pPr>
            <w:r>
              <w:rPr>
                <w:rFonts w:ascii="Calibri" w:cs="Calibri" w:eastAsia="Calibri" w:hAnsi="Calibri"/>
                <w:sz w:val="15"/>
                <w:szCs w:val="15"/>
              </w:rPr>
              <w:t xml:space="preserve">Splash of cyanide-bearing slurry or solution to skin or eyes</w:t>
            </w:r>
          </w:p>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30" w:line="235"/>
            </w:pPr>
            <w:r>
              <w:rPr>
                <w:rFonts w:ascii="Calibri" w:cs="Calibri" w:eastAsia="Calibri" w:hAnsi="Calibri"/>
                <w:sz w:val="15"/>
                <w:szCs w:val="15"/>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Rinse the burette with distilled water then condition it three times with standardised AgNO3.</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Cross-contamination from a container or cutter not cleaned between points</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Fill the burette and expel air from the tip.</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Hydrogen cyanide gas released at the open sample point</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Pipette the aliquot into a conical flask.</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Hydrogen cyanide gas released at the open sample point</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Add 3 to 5 drops of rhodanine indicator - the solution turns pale yellow.</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Hydrogen cyanide gas released at the open sample point</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7.  Add AgNO3 dropwise with continuous swirling. As the endpoint nears a salmon pink precipitate forms and redissolves slowly; slow the addition there.</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Hydrogen cyanide gas released at the open sample point</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8.  Continue dropwise until a permanent salmon pink holds for 30 seconds without swirling.</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Hydrogen cyanide gas released at the open sample point</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9.  Record the burette reading and calculate free cyanide.</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10.  Run a duplicate on every tenth sample and a standard once per shift.</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Acid-resistant gloves, apron and face shield</w:t>
      </w:r>
    </w:p>
    <w:p>
      <w:pPr>
        <w:pStyle w:val="ListParagraph"/>
        <w:numPr>
          <w:ilvl w:val="0"/>
          <w:numId w:val="1"/>
        </w:numPr>
        <w:spacing w:after="60" w:line="245"/>
      </w:pPr>
      <w:r>
        <w:rPr>
          <w:rFonts w:ascii="Calibri" w:cs="Calibri" w:eastAsia="Calibri" w:hAnsi="Calibri"/>
          <w:sz w:val="17"/>
          <w:szCs w:val="17"/>
        </w:rPr>
        <w:t xml:space="preserve">Chemical splash goggles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Points and equipment covered by this task:</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200"/>
        <w:gridCol w:w="11638"/>
      </w:tblGrid>
      <w:tr>
        <w:trPr>
          <w:tblHeader/>
        </w:trPr>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116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3200"/>
            <w:tcMar>
              <w:top w:type="dxa" w:w="55"/>
              <w:left w:type="dxa" w:w="85"/>
              <w:bottom w:type="dxa" w:w="55"/>
              <w:right w:type="dxa" w:w="85"/>
            </w:tcMar>
          </w:tcPr>
          <w:p>
            <w:pPr>
              <w:spacing w:after="0" w:line="235"/>
            </w:pPr>
            <w:r>
              <w:rPr>
                <w:rFonts w:ascii="Calibri" w:cs="Calibri" w:eastAsia="Calibri" w:hAnsi="Calibri"/>
                <w:sz w:val="16"/>
                <w:szCs w:val="16"/>
              </w:rPr>
              <w:t xml:space="preserve">Met lab bench</w:t>
            </w:r>
          </w:p>
        </w:tc>
        <w:tc>
          <w:tcPr>
            <w:tcW w:type="dxa" w:w="11638"/>
            <w:tcMar>
              <w:top w:type="dxa" w:w="55"/>
              <w:left w:type="dxa" w:w="85"/>
              <w:bottom w:type="dxa" w:w="55"/>
              <w:right w:type="dxa" w:w="85"/>
            </w:tcMar>
          </w:tcPr>
          <w:p>
            <w:pPr>
              <w:spacing w:after="0" w:line="235"/>
            </w:pPr>
            <w:r>
              <w:rPr>
                <w:rFonts w:ascii="Calibri" w:cs="Calibri" w:eastAsia="Calibri" w:hAnsi="Calibri"/>
                <w:sz w:val="16"/>
                <w:szCs w:val="16"/>
              </w:rPr>
              <w:t xml:space="preserve">Physical testwork bench and instrument</w:t>
            </w:r>
          </w:p>
        </w:tc>
      </w:tr>
    </w:tbl>
    <w:p>
      <w:pPr>
        <w:spacing w:after="60" w:before="0" w:line="245"/>
      </w:pPr>
    </w:p>
    <w:p>
      <w:pPr>
        <w:spacing w:after="60" w:before="0" w:line="245"/>
      </w:pPr>
      <w:r>
        <w:rPr>
          <w:rFonts w:ascii="Calibri" w:cs="Calibri" w:eastAsia="Calibri" w:hAnsi="Calibri"/>
          <w:sz w:val="17"/>
          <w:szCs w:val="17"/>
        </w:rPr>
        <w:t xml:space="preserve">Frequency: Every shift on every cyanide-bearing stream on the schedule.</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Work in the fume cupboard with the airflow confirmed. Cyanide solutions release HCN, faster if the pH has dropped.</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Filter the sample if it is not already clear, and titrate as soon after filtration as possible to limit volatilisation loss.</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Rinse the burette with distilled water then condition it three times with standardised AgNO3.</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Fill the burette and expel air from the tip.</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Pipette the aliquot into a conical flask.</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Add 3 to 5 drops of rhodanine indicator - the solution turns pale yellow.</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Add AgNO3 dropwise with continuous swirling. As the endpoint nears a salmon pink precipitate forms and redissolves slowly; slow the addition there.</w:t>
      </w:r>
    </w:p>
    <w:p>
      <w:pPr>
        <w:ind w:left="280"/>
        <w:spacing w:after="50" w:before="0" w:line="245"/>
      </w:pPr>
      <w:r>
        <w:rPr>
          <w:rFonts w:ascii="Calibri" w:cs="Calibri" w:eastAsia="Calibri" w:hAnsi="Calibri"/>
          <w:b/>
          <w:bCs/>
          <w:sz w:val="17"/>
          <w:szCs w:val="17"/>
        </w:rPr>
        <w:t xml:space="preserve">8.</w:t>
      </w:r>
      <w:r>
        <w:rPr>
          <w:rFonts w:ascii="Calibri" w:cs="Calibri" w:eastAsia="Calibri" w:hAnsi="Calibri"/>
          <w:sz w:val="17"/>
          <w:szCs w:val="17"/>
        </w:rPr>
        <w:t xml:space="preserve">  Continue dropwise until a permanent salmon pink holds for 30 seconds without swirling.</w:t>
      </w:r>
    </w:p>
    <w:p>
      <w:pPr>
        <w:ind w:left="280"/>
        <w:spacing w:after="50" w:before="0" w:line="245"/>
      </w:pPr>
      <w:r>
        <w:rPr>
          <w:rFonts w:ascii="Calibri" w:cs="Calibri" w:eastAsia="Calibri" w:hAnsi="Calibri"/>
          <w:b/>
          <w:bCs/>
          <w:sz w:val="17"/>
          <w:szCs w:val="17"/>
        </w:rPr>
        <w:t xml:space="preserve">9.</w:t>
      </w:r>
      <w:r>
        <w:rPr>
          <w:rFonts w:ascii="Calibri" w:cs="Calibri" w:eastAsia="Calibri" w:hAnsi="Calibri"/>
          <w:sz w:val="17"/>
          <w:szCs w:val="17"/>
        </w:rPr>
        <w:t xml:space="preserve">  Record the burette reading and calculate free cyanide.</w:t>
      </w:r>
    </w:p>
    <w:p>
      <w:pPr>
        <w:ind w:left="280"/>
        <w:spacing w:after="50" w:before="0" w:line="245"/>
      </w:pPr>
      <w:r>
        <w:rPr>
          <w:rFonts w:ascii="Calibri" w:cs="Calibri" w:eastAsia="Calibri" w:hAnsi="Calibri"/>
          <w:b/>
          <w:bCs/>
          <w:sz w:val="17"/>
          <w:szCs w:val="17"/>
        </w:rPr>
        <w:t xml:space="preserve">10.</w:t>
      </w:r>
      <w:r>
        <w:rPr>
          <w:rFonts w:ascii="Calibri" w:cs="Calibri" w:eastAsia="Calibri" w:hAnsi="Calibri"/>
          <w:sz w:val="17"/>
          <w:szCs w:val="17"/>
        </w:rPr>
        <w:t xml:space="preserve">  Run a duplicate on every tenth sample and a standard once per shift.</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Burette 50 mL and stand</w:t>
      </w:r>
    </w:p>
    <w:p>
      <w:pPr>
        <w:pStyle w:val="ListParagraph"/>
        <w:numPr>
          <w:ilvl w:val="0"/>
          <w:numId w:val="1"/>
        </w:numPr>
        <w:spacing w:after="60" w:line="245"/>
      </w:pPr>
      <w:r>
        <w:rPr>
          <w:rFonts w:ascii="Calibri" w:cs="Calibri" w:eastAsia="Calibri" w:hAnsi="Calibri"/>
          <w:sz w:val="17"/>
          <w:szCs w:val="17"/>
        </w:rPr>
        <w:t xml:space="preserve">Pipette 10 or 25 mL</w:t>
      </w:r>
    </w:p>
    <w:p>
      <w:pPr>
        <w:pStyle w:val="ListParagraph"/>
        <w:numPr>
          <w:ilvl w:val="0"/>
          <w:numId w:val="1"/>
        </w:numPr>
        <w:spacing w:after="60" w:line="245"/>
      </w:pPr>
      <w:r>
        <w:rPr>
          <w:rFonts w:ascii="Calibri" w:cs="Calibri" w:eastAsia="Calibri" w:hAnsi="Calibri"/>
          <w:sz w:val="17"/>
          <w:szCs w:val="17"/>
        </w:rPr>
        <w:t xml:space="preserve">Conical flasks 250 mL</w:t>
      </w:r>
    </w:p>
    <w:p>
      <w:pPr>
        <w:pStyle w:val="ListParagraph"/>
        <w:numPr>
          <w:ilvl w:val="0"/>
          <w:numId w:val="1"/>
        </w:numPr>
        <w:spacing w:after="60" w:line="245"/>
      </w:pPr>
      <w:r>
        <w:rPr>
          <w:rFonts w:ascii="Calibri" w:cs="Calibri" w:eastAsia="Calibri" w:hAnsi="Calibri"/>
          <w:sz w:val="17"/>
          <w:szCs w:val="17"/>
        </w:rPr>
        <w:t xml:space="preserve">Standardised AgNO3 0.01 M</w:t>
      </w:r>
    </w:p>
    <w:p>
      <w:pPr>
        <w:pStyle w:val="ListParagraph"/>
        <w:numPr>
          <w:ilvl w:val="0"/>
          <w:numId w:val="1"/>
        </w:numPr>
        <w:spacing w:after="60" w:line="245"/>
      </w:pPr>
      <w:r>
        <w:rPr>
          <w:rFonts w:ascii="Calibri" w:cs="Calibri" w:eastAsia="Calibri" w:hAnsi="Calibri"/>
          <w:sz w:val="17"/>
          <w:szCs w:val="17"/>
        </w:rPr>
        <w:t xml:space="preserve">Rhodanine indicator</w:t>
      </w:r>
    </w:p>
    <w:p>
      <w:pPr>
        <w:pStyle w:val="ListParagraph"/>
        <w:numPr>
          <w:ilvl w:val="0"/>
          <w:numId w:val="1"/>
        </w:numPr>
        <w:spacing w:after="60" w:line="245"/>
      </w:pPr>
      <w:r>
        <w:rPr>
          <w:rFonts w:ascii="Calibri" w:cs="Calibri" w:eastAsia="Calibri" w:hAnsi="Calibri"/>
          <w:sz w:val="17"/>
          <w:szCs w:val="17"/>
        </w:rPr>
        <w:t xml:space="preserve">Wash bottle and distilled water</w:t>
      </w:r>
    </w:p>
    <w:p>
      <w:pPr>
        <w:pStyle w:val="ListParagraph"/>
        <w:numPr>
          <w:ilvl w:val="0"/>
          <w:numId w:val="1"/>
        </w:numPr>
        <w:spacing w:after="60" w:line="245"/>
      </w:pPr>
      <w:r>
        <w:rPr>
          <w:rFonts w:ascii="Calibri" w:cs="Calibri" w:eastAsia="Calibri" w:hAnsi="Calibri"/>
          <w:sz w:val="17"/>
          <w:szCs w:val="17"/>
        </w:rPr>
        <w:t xml:space="preserve">Fume cupboard</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SWI-PRO-MET-205-001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SWI-PRO-MET-205-001.</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KBK-MIR-MP-PRO-OPE-SOP-0010 Titrasi Sianida</w:t>
      </w:r>
    </w:p>
    <w:p>
      <w:pPr>
        <w:pStyle w:val="ListParagraph"/>
        <w:numPr>
          <w:ilvl w:val="0"/>
          <w:numId w:val="1"/>
        </w:numPr>
        <w:spacing w:after="60" w:line="245"/>
      </w:pPr>
      <w:r>
        <w:rPr>
          <w:rFonts w:ascii="Calibri" w:cs="Calibri" w:eastAsia="Calibri" w:hAnsi="Calibri"/>
          <w:sz w:val="17"/>
          <w:szCs w:val="17"/>
        </w:rPr>
        <w:t xml:space="preserve">KBK-MIR-MP-PRO-MET-SOP-0037 Titrasi Sianida dengan Perak Nitrat and SOP-0043 AgNO3 0.01 M standard, both received 11 Aug 2026</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JSEA-PRO-MET-205-001</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JSEA-PRO-MET-205-001  ·  Free Cyanide Titration - Silver Nitrate Method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