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Caustic Soda Strength Titration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SWI-PRO-MET-205-002  Caustic Soda Strength Titration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HM-PRC-VXX-PRO209  Metallurgical Laboratory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205  Met Lab - Chemical and Leach Testwork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caustic soda strength titration in 205  Met Lab - Chemical and Leach Testwork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Determine sodium hydroxide strength by acid titration.</w:t>
      </w:r>
    </w:p>
    <w:p>
      <w:pPr>
        <w:pStyle w:val="ListParagraph"/>
        <w:numPr>
          <w:ilvl w:val="0"/>
          <w:numId w:val="1"/>
        </w:numPr>
        <w:spacing w:after="60" w:line="245"/>
      </w:pPr>
      <w:r>
        <w:rPr>
          <w:rFonts w:ascii="Calibri" w:cs="Calibri" w:eastAsia="Calibri" w:hAnsi="Calibri"/>
          <w:sz w:val="17"/>
          <w:szCs w:val="17"/>
        </w:rPr>
        <w:t xml:space="preserve">Caustic strength sets the elution eluant and the pH control across the plant.</w:t>
      </w:r>
    </w:p>
    <w:p>
      <w:pPr>
        <w:spacing w:after="60" w:before="0" w:line="245"/>
      </w:pPr>
      <w:r>
        <w:rPr>
          <w:rFonts w:ascii="Calibri" w:cs="Calibri" w:eastAsia="Calibri" w:hAnsi="Calibri"/>
          <w:sz w:val="17"/>
          <w:szCs w:val="17"/>
        </w:rPr>
        <w:t xml:space="preserve">It is read with work instruction SWI-PRO-MET-205-002, which gives the step-by-step method, and with HM-PRC-VXX-PRO209 Metallurgical Laboratory Chemical and Leach Testwork,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Take the sample from the designated diluted-solution valve, never from the concentrated tank.</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Dilute the aliquot where the method requires it, adding caustic to water.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sodium hydroxide solution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Add phenolphthalein indicator - the solution turns pink.</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Titrate with standardised HCl until the pink just disappears and stays gone for 30 seconds.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sodium hydroxide solution - burn to skin or eyes</w:t>
            </w:r>
          </w:p>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Splash of cyanide-bearing slurry or solution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chemical PPE including face shield and chemical-resistant gloves. Sample drawn slowly from the designated valve. Safety shower and eyewash within reach and proven flowing.</w:t>
            </w:r>
          </w:p>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Record the titre and calculate strength.</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Compare against the target make-up strength and report any batch outside range before it is used.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made-up batch and once per shift on standing solution.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sample from the designated diluted-solution valve, never from the concentrated tank.</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Dilute the aliquot where the method requires it, adding caustic to water.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Add phenolphthalein indicator - the solution turns pink.</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Titrate with standardised HCl until the pink just disappears and stays gone for 30 seconds.</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Record the titre and calculate strength.</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Compare against the target make-up strength and report any batch outside range before it is used.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Burette and stand</w:t>
      </w:r>
    </w:p>
    <w:p>
      <w:pPr>
        <w:pStyle w:val="ListParagraph"/>
        <w:numPr>
          <w:ilvl w:val="0"/>
          <w:numId w:val="1"/>
        </w:numPr>
        <w:spacing w:after="60" w:line="245"/>
      </w:pPr>
      <w:r>
        <w:rPr>
          <w:rFonts w:ascii="Calibri" w:cs="Calibri" w:eastAsia="Calibri" w:hAnsi="Calibri"/>
          <w:sz w:val="17"/>
          <w:szCs w:val="17"/>
        </w:rPr>
        <w:t xml:space="preserve">Pipette</w:t>
      </w:r>
    </w:p>
    <w:p>
      <w:pPr>
        <w:pStyle w:val="ListParagraph"/>
        <w:numPr>
          <w:ilvl w:val="0"/>
          <w:numId w:val="1"/>
        </w:numPr>
        <w:spacing w:after="60" w:line="245"/>
      </w:pPr>
      <w:r>
        <w:rPr>
          <w:rFonts w:ascii="Calibri" w:cs="Calibri" w:eastAsia="Calibri" w:hAnsi="Calibri"/>
          <w:sz w:val="17"/>
          <w:szCs w:val="17"/>
        </w:rPr>
        <w:t xml:space="preserve">Conical flasks</w:t>
      </w:r>
    </w:p>
    <w:p>
      <w:pPr>
        <w:pStyle w:val="ListParagraph"/>
        <w:numPr>
          <w:ilvl w:val="0"/>
          <w:numId w:val="1"/>
        </w:numPr>
        <w:spacing w:after="60" w:line="245"/>
      </w:pPr>
      <w:r>
        <w:rPr>
          <w:rFonts w:ascii="Calibri" w:cs="Calibri" w:eastAsia="Calibri" w:hAnsi="Calibri"/>
          <w:sz w:val="17"/>
          <w:szCs w:val="17"/>
        </w:rPr>
        <w:t xml:space="preserve">Standardised HCl</w:t>
      </w:r>
    </w:p>
    <w:p>
      <w:pPr>
        <w:pStyle w:val="ListParagraph"/>
        <w:numPr>
          <w:ilvl w:val="0"/>
          <w:numId w:val="1"/>
        </w:numPr>
        <w:spacing w:after="60" w:line="245"/>
      </w:pPr>
      <w:r>
        <w:rPr>
          <w:rFonts w:ascii="Calibri" w:cs="Calibri" w:eastAsia="Calibri" w:hAnsi="Calibri"/>
          <w:sz w:val="17"/>
          <w:szCs w:val="17"/>
        </w:rPr>
        <w:t xml:space="preserve">Phenolphthalein indicator</w:t>
      </w:r>
    </w:p>
    <w:p>
      <w:pPr>
        <w:pStyle w:val="ListParagraph"/>
        <w:numPr>
          <w:ilvl w:val="0"/>
          <w:numId w:val="1"/>
        </w:numPr>
        <w:spacing w:after="60" w:line="245"/>
      </w:pPr>
      <w:r>
        <w:rPr>
          <w:rFonts w:ascii="Calibri" w:cs="Calibri" w:eastAsia="Calibri" w:hAnsi="Calibri"/>
          <w:sz w:val="17"/>
          <w:szCs w:val="17"/>
        </w:rPr>
        <w:t xml:space="preserve">Distilled water</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SWI-PRO-MET-205-002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SWI-PRO-MET-205-002.</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KBK-MIR-MP-PRO-OPE-SOP-0009 Titrasi Kaustik Soda</w:t>
      </w:r>
    </w:p>
    <w:p>
      <w:pPr>
        <w:pStyle w:val="ListParagraph"/>
        <w:numPr>
          <w:ilvl w:val="0"/>
          <w:numId w:val="1"/>
        </w:numPr>
        <w:spacing w:after="60" w:line="245"/>
      </w:pPr>
      <w:r>
        <w:rPr>
          <w:rFonts w:ascii="Calibri" w:cs="Calibri" w:eastAsia="Calibri" w:hAnsi="Calibri"/>
          <w:sz w:val="17"/>
          <w:szCs w:val="17"/>
        </w:rPr>
        <w:t xml:space="preserve">KBK-MIR-MP-PRO-MET-SOP-0025 and SOP-0039/0040 hydrochloric acid titration, received 11 Aug 2026</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JSEA-PRO-MET-205-002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JSEA-PRO-MET-205-002  ·  Caustic Soda Strength Titration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