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Sodium Chloride (Chloride) Titration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SWI-PRO-MET-205-004  Sodium Chloride (Chloride) Titration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sodium chloride (chloride) titration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chloride concentration in the made-up sodium chloride solution and in process streams.</w:t>
      </w:r>
    </w:p>
    <w:p>
      <w:pPr>
        <w:pStyle w:val="ListParagraph"/>
        <w:numPr>
          <w:ilvl w:val="0"/>
          <w:numId w:val="1"/>
        </w:numPr>
        <w:spacing w:after="60" w:line="245"/>
      </w:pPr>
      <w:r>
        <w:rPr>
          <w:rFonts w:ascii="Calibri" w:cs="Calibri" w:eastAsia="Calibri" w:hAnsi="Calibri"/>
          <w:sz w:val="17"/>
          <w:szCs w:val="17"/>
        </w:rPr>
        <w:t xml:space="preserve">Chloride affects the elution chemistry and is tracked in the copper circuit.</w:t>
      </w:r>
    </w:p>
    <w:p>
      <w:pPr>
        <w:spacing w:after="60" w:before="0" w:line="245"/>
      </w:pPr>
      <w:r>
        <w:rPr>
          <w:rFonts w:ascii="Calibri" w:cs="Calibri" w:eastAsia="Calibri" w:hAnsi="Calibri"/>
          <w:sz w:val="17"/>
          <w:szCs w:val="17"/>
        </w:rPr>
        <w:t xml:space="preserve">It is read with work instruction SWI-PRO-MET-205-004,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sample is near neutral pH before titrating - the argentometric method fails outside its pH range.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Pipette the aliquot into a conical flask.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the indicator.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Titrate with standardised AgNO3 to the first persistent colour change.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the titre and calculate chloride.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Where the HI902C ISE channel is used, calibrate against chloride standards before the run.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Run a standard with each batch of samples.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made-up batch and per the analysis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sample is near neutral pH before titrating - the argentometric method fails outside its pH range.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Pipette the aliquot into a conical flask.</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the indicator.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Titrate with standardised AgNO3 to the first persistent colour change.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the titre and calculate chloride.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the HI902C ISE channel is used, calibrate against chloride standards before the run.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Run a standard with each batch of samples.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Burette and stand</w:t>
      </w:r>
    </w:p>
    <w:p>
      <w:pPr>
        <w:pStyle w:val="ListParagraph"/>
        <w:numPr>
          <w:ilvl w:val="0"/>
          <w:numId w:val="1"/>
        </w:numPr>
        <w:spacing w:after="60" w:line="245"/>
      </w:pPr>
      <w:r>
        <w:rPr>
          <w:rFonts w:ascii="Calibri" w:cs="Calibri" w:eastAsia="Calibri" w:hAnsi="Calibri"/>
          <w:sz w:val="17"/>
          <w:szCs w:val="17"/>
        </w:rPr>
        <w:t xml:space="preserve">Pipette</w:t>
      </w:r>
    </w:p>
    <w:p>
      <w:pPr>
        <w:pStyle w:val="ListParagraph"/>
        <w:numPr>
          <w:ilvl w:val="0"/>
          <w:numId w:val="1"/>
        </w:numPr>
        <w:spacing w:after="60" w:line="245"/>
      </w:pPr>
      <w:r>
        <w:rPr>
          <w:rFonts w:ascii="Calibri" w:cs="Calibri" w:eastAsia="Calibri" w:hAnsi="Calibri"/>
          <w:sz w:val="17"/>
          <w:szCs w:val="17"/>
        </w:rPr>
        <w:t xml:space="preserve">Conical flasks</w:t>
      </w:r>
    </w:p>
    <w:p>
      <w:pPr>
        <w:pStyle w:val="ListParagraph"/>
        <w:numPr>
          <w:ilvl w:val="0"/>
          <w:numId w:val="1"/>
        </w:numPr>
        <w:spacing w:after="60" w:line="245"/>
      </w:pPr>
      <w:r>
        <w:rPr>
          <w:rFonts w:ascii="Calibri" w:cs="Calibri" w:eastAsia="Calibri" w:hAnsi="Calibri"/>
          <w:sz w:val="17"/>
          <w:szCs w:val="17"/>
        </w:rPr>
        <w:t xml:space="preserve">Standardised AgNO3</w:t>
      </w:r>
    </w:p>
    <w:p>
      <w:pPr>
        <w:pStyle w:val="ListParagraph"/>
        <w:numPr>
          <w:ilvl w:val="0"/>
          <w:numId w:val="1"/>
        </w:numPr>
        <w:spacing w:after="60" w:line="245"/>
      </w:pPr>
      <w:r>
        <w:rPr>
          <w:rFonts w:ascii="Calibri" w:cs="Calibri" w:eastAsia="Calibri" w:hAnsi="Calibri"/>
          <w:sz w:val="17"/>
          <w:szCs w:val="17"/>
        </w:rPr>
        <w:t xml:space="preserve">Potassium chromate indicator</w:t>
      </w:r>
    </w:p>
    <w:p>
      <w:pPr>
        <w:pStyle w:val="ListParagraph"/>
        <w:numPr>
          <w:ilvl w:val="0"/>
          <w:numId w:val="1"/>
        </w:numPr>
        <w:spacing w:after="60" w:line="245"/>
      </w:pPr>
      <w:r>
        <w:rPr>
          <w:rFonts w:ascii="Calibri" w:cs="Calibri" w:eastAsia="Calibri" w:hAnsi="Calibri"/>
          <w:sz w:val="17"/>
          <w:szCs w:val="17"/>
        </w:rPr>
        <w:t xml:space="preserve">Hanna HI902C with ISE channel</w:t>
      </w:r>
    </w:p>
    <w:p>
      <w:pPr>
        <w:pStyle w:val="ListParagraph"/>
        <w:numPr>
          <w:ilvl w:val="0"/>
          <w:numId w:val="1"/>
        </w:numPr>
        <w:spacing w:after="60" w:line="245"/>
      </w:pPr>
      <w:r>
        <w:rPr>
          <w:rFonts w:ascii="Calibri" w:cs="Calibri" w:eastAsia="Calibri" w:hAnsi="Calibri"/>
          <w:sz w:val="17"/>
          <w:szCs w:val="17"/>
        </w:rPr>
        <w:t xml:space="preserve">Distilled water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HI902C with ISE channel</w:t>
      </w:r>
    </w:p>
    <w:p>
      <w:pPr>
        <w:pStyle w:val="ListParagraph"/>
        <w:numPr>
          <w:ilvl w:val="0"/>
          <w:numId w:val="1"/>
        </w:numPr>
        <w:spacing w:after="60" w:line="245"/>
      </w:pPr>
      <w:r>
        <w:rPr>
          <w:rFonts w:ascii="Calibri" w:cs="Calibri" w:eastAsia="Calibri" w:hAnsi="Calibri"/>
          <w:sz w:val="17"/>
          <w:szCs w:val="17"/>
        </w:rPr>
        <w:t xml:space="preserve">KBK titration method set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JSEA-PRO-MET-205-004  ·  Sodium Chloride (Chloride) Titration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