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Lime Availability Test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SWI-PRO-MET-205-005  Lime Availability Test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lime availability test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the available lime content of the delivered quicklime and of the slaked slurry.</w:t>
      </w:r>
    </w:p>
    <w:p>
      <w:pPr>
        <w:pStyle w:val="ListParagraph"/>
        <w:numPr>
          <w:ilvl w:val="0"/>
          <w:numId w:val="1"/>
        </w:numPr>
        <w:spacing w:after="60" w:line="245"/>
      </w:pPr>
      <w:r>
        <w:rPr>
          <w:rFonts w:ascii="Calibri" w:cs="Calibri" w:eastAsia="Calibri" w:hAnsi="Calibri"/>
          <w:sz w:val="17"/>
          <w:szCs w:val="17"/>
        </w:rPr>
        <w:t xml:space="preserve">Lime availability sets the addition rate. A low-availability delivery under-doses the whole circuit.</w:t>
      </w:r>
    </w:p>
    <w:p>
      <w:pPr>
        <w:spacing w:after="60" w:before="0" w:line="245"/>
      </w:pPr>
      <w:r>
        <w:rPr>
          <w:rFonts w:ascii="Calibri" w:cs="Calibri" w:eastAsia="Calibri" w:hAnsi="Calibri"/>
          <w:sz w:val="17"/>
          <w:szCs w:val="17"/>
        </w:rPr>
        <w:t xml:space="preserve">It is read with work instruction SWI-PRO-MET-205-005,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a representative sample of the delivery, not a grab from the top of the load.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Weigh the sample accurately and slake it in distilled water under the method conditions.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Titrate the slaked suspension with standardised HCl to the phenolphthalein endpoint, stirring continuously.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sodium hydroxide solution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the titre and calculate available lime as per cent CaO.</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Compare against the supply specification and report any delivery below specification before it is used.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Trend availability by delivery - a downward trend is a supplier problem, not a plant problem.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delivery and weekly on the slaked slurry.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a representative sample of the delivery, not a grab from the top of the load.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Weigh the sample accurately and slake it in distilled water under the method conditions.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Titrate the slaked suspension with standardised HCl to the phenolphthalein endpoint, stirring continuously.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the titre and calculate available lime as per cent CaO.</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against the supply specification and report any delivery below specification before it is used.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Trend availability by delivery - a downward trend is a supplier problem, not a plant problem.</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Burette and stand</w:t>
      </w:r>
    </w:p>
    <w:p>
      <w:pPr>
        <w:pStyle w:val="ListParagraph"/>
        <w:numPr>
          <w:ilvl w:val="0"/>
          <w:numId w:val="1"/>
        </w:numPr>
        <w:spacing w:after="60" w:line="245"/>
      </w:pPr>
      <w:r>
        <w:rPr>
          <w:rFonts w:ascii="Calibri" w:cs="Calibri" w:eastAsia="Calibri" w:hAnsi="Calibri"/>
          <w:sz w:val="17"/>
          <w:szCs w:val="17"/>
        </w:rPr>
        <w:t xml:space="preserve">Pipette</w:t>
      </w:r>
    </w:p>
    <w:p>
      <w:pPr>
        <w:pStyle w:val="ListParagraph"/>
        <w:numPr>
          <w:ilvl w:val="0"/>
          <w:numId w:val="1"/>
        </w:numPr>
        <w:spacing w:after="60" w:line="245"/>
      </w:pPr>
      <w:r>
        <w:rPr>
          <w:rFonts w:ascii="Calibri" w:cs="Calibri" w:eastAsia="Calibri" w:hAnsi="Calibri"/>
          <w:sz w:val="17"/>
          <w:szCs w:val="17"/>
        </w:rPr>
        <w:t xml:space="preserve">Conical flasks</w:t>
      </w:r>
    </w:p>
    <w:p>
      <w:pPr>
        <w:pStyle w:val="ListParagraph"/>
        <w:numPr>
          <w:ilvl w:val="0"/>
          <w:numId w:val="1"/>
        </w:numPr>
        <w:spacing w:after="60" w:line="245"/>
      </w:pPr>
      <w:r>
        <w:rPr>
          <w:rFonts w:ascii="Calibri" w:cs="Calibri" w:eastAsia="Calibri" w:hAnsi="Calibri"/>
          <w:sz w:val="17"/>
          <w:szCs w:val="17"/>
        </w:rPr>
        <w:t xml:space="preserve">Standardised HCl</w:t>
      </w:r>
    </w:p>
    <w:p>
      <w:pPr>
        <w:pStyle w:val="ListParagraph"/>
        <w:numPr>
          <w:ilvl w:val="0"/>
          <w:numId w:val="1"/>
        </w:numPr>
        <w:spacing w:after="60" w:line="245"/>
      </w:pPr>
      <w:r>
        <w:rPr>
          <w:rFonts w:ascii="Calibri" w:cs="Calibri" w:eastAsia="Calibri" w:hAnsi="Calibri"/>
          <w:sz w:val="17"/>
          <w:szCs w:val="17"/>
        </w:rPr>
        <w:t xml:space="preserve">Phenolphthalein indicator</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Beakers</w:t>
      </w:r>
    </w:p>
    <w:p>
      <w:pPr>
        <w:pStyle w:val="ListParagraph"/>
        <w:numPr>
          <w:ilvl w:val="0"/>
          <w:numId w:val="1"/>
        </w:numPr>
        <w:spacing w:after="60" w:line="245"/>
      </w:pPr>
      <w:r>
        <w:rPr>
          <w:rFonts w:ascii="Calibri" w:cs="Calibri" w:eastAsia="Calibri" w:hAnsi="Calibri"/>
          <w:sz w:val="17"/>
          <w:szCs w:val="17"/>
        </w:rPr>
        <w:t xml:space="preserve">Stirrer</w:t>
      </w:r>
    </w:p>
    <w:p>
      <w:pPr>
        <w:pStyle w:val="ListParagraph"/>
        <w:numPr>
          <w:ilvl w:val="0"/>
          <w:numId w:val="1"/>
        </w:numPr>
        <w:spacing w:after="60" w:line="245"/>
      </w:pPr>
      <w:r>
        <w:rPr>
          <w:rFonts w:ascii="Calibri" w:cs="Calibri" w:eastAsia="Calibri" w:hAnsi="Calibri"/>
          <w:sz w:val="17"/>
          <w:szCs w:val="17"/>
        </w:rPr>
        <w:t xml:space="preserve">Distilled water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KBK-MIR-MP-PRO-OPE-SOP-0024 Uji Kandungan Kapur</w:t>
      </w:r>
    </w:p>
    <w:p>
      <w:pPr>
        <w:pStyle w:val="ListParagraph"/>
        <w:numPr>
          <w:ilvl w:val="0"/>
          <w:numId w:val="1"/>
        </w:numPr>
        <w:spacing w:after="60" w:line="245"/>
      </w:pPr>
      <w:r>
        <w:rPr>
          <w:rFonts w:ascii="Calibri" w:cs="Calibri" w:eastAsia="Calibri" w:hAnsi="Calibri"/>
          <w:sz w:val="17"/>
          <w:szCs w:val="17"/>
        </w:rPr>
        <w:t xml:space="preserve">4034-046-VE-019 Transmin quicklime slaking plant functional description,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JSEA-PRO-MET-205-005  ·  Lime Availability Test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