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Bottle Roll Leach Test - As-Received and Pulverised</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JSEA-PRO-MET-205-007</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SWI-PRO-MET-205-007  Bottle Roll Leach Test - As-Received and Pulverised</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HM-PRC-VXX-PRO209  Metallurgical Laboratory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205  Met Lab -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JSEA-PRO-MET-205-007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bottle roll leach test - as-received and pulverised in 205  Met Lab - Chemical and Leach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Determine gold extraction by cyanide leach at the bench, on as-received and on pulverised material.</w:t>
      </w:r>
    </w:p>
    <w:p>
      <w:pPr>
        <w:pStyle w:val="ListParagraph"/>
        <w:numPr>
          <w:ilvl w:val="0"/>
          <w:numId w:val="1"/>
        </w:numPr>
        <w:spacing w:after="60" w:line="245"/>
      </w:pPr>
      <w:r>
        <w:rPr>
          <w:rFonts w:ascii="Calibri" w:cs="Calibri" w:eastAsia="Calibri" w:hAnsi="Calibri"/>
          <w:sz w:val="17"/>
          <w:szCs w:val="17"/>
        </w:rPr>
        <w:t xml:space="preserve">The difference between the two says how much of the remaining gold is locked and how much is simply slow.</w:t>
      </w:r>
    </w:p>
    <w:p>
      <w:pPr>
        <w:spacing w:after="60" w:before="0" w:line="245"/>
      </w:pPr>
      <w:r>
        <w:rPr>
          <w:rFonts w:ascii="Calibri" w:cs="Calibri" w:eastAsia="Calibri" w:hAnsi="Calibri"/>
          <w:sz w:val="17"/>
          <w:szCs w:val="17"/>
        </w:rPr>
        <w:t xml:space="preserve">It is read with work instruction SWI-PRO-MET-205-007, which gives the step-by-step method, and with HM-PRC-VXX-PRO209 Metallurgical Laboratory Chemical and Leach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bottle roller guarding is in place and the guard interlock works before loading.</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an agitator, sample cutter, pump or screen that starts without warning</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Split the sample. Leave one split as received; pulverise the other to the method size.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an agitator, sample cutter, pump or screen that starts without warning</w:t>
            </w:r>
          </w:p>
          <w:p>
            <w:pPr>
              <w:spacing w:after="0" w:line="235"/>
            </w:pPr>
            <w:r>
              <w:rPr>
                <w:rFonts w:ascii="Calibri" w:cs="Calibri" w:eastAsia="Calibri" w:hAnsi="Calibri"/>
                <w:sz w:val="15"/>
                <w:szCs w:val="15"/>
              </w:rPr>
              <w:t xml:space="preserve">Splash of cyanide-bearing slurry or solution to skin or eyes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Charge each bottle with the stated solids mass and solution volume.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Add lime to the target pH and confirm the pH before adding cyanide. NEVER add cyanide to a slurry below pH 10.5 - it releases HCN.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Add cyanide to the stated concentration and record the start time.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an agitator, sample cutter, pump or screen that starts without warning</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Roll for the stated period, opening at each interval only inside the fume cupboard to sample solution and to top up cyanide and lime.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Splash of cyanide-bearing slurry or solution to skin or eyes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At each interval record pH, free cyanide and take a solution sample for assay.</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At the end, filter, wash and dry the residue, and assay both residue and final solution.</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Splash of cyanide-bearing slurry or solution to skin or eyes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9.  Calculate extraction against the calculated head and against the assayed head, and report both.</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On each new ore type, and on any tail sample being investigated.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bottle roller guarding is in place and the guard interlock works before loading.</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Split the sample. Leave one split as received; pulverise the other to the method size.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Charge each bottle with the stated solids mass and solution volume.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Add lime to the target pH and confirm the pH before adding cyanide. NEVER add cyanide to a slurry below pH 10.5 - it releases HCN.</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Add cyanide to the stated concentration and record the start time.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Roll for the stated period, opening at each interval only inside the fume cupboard to sample solution and to top up cyanide and lime.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At each interval record pH, free cyanide and take a solution sample for assay.</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At the end, filter, wash and dry the residue, and assay both residue and final solution.</w:t>
      </w:r>
    </w:p>
    <w:p>
      <w:pPr>
        <w:ind w:left="280"/>
        <w:spacing w:after="50" w:before="0" w:line="245"/>
      </w:pPr>
      <w:r>
        <w:rPr>
          <w:rFonts w:ascii="Calibri" w:cs="Calibri" w:eastAsia="Calibri" w:hAnsi="Calibri"/>
          <w:b/>
          <w:bCs/>
          <w:sz w:val="17"/>
          <w:szCs w:val="17"/>
        </w:rPr>
        <w:t xml:space="preserve">9.</w:t>
      </w:r>
      <w:r>
        <w:rPr>
          <w:rFonts w:ascii="Calibri" w:cs="Calibri" w:eastAsia="Calibri" w:hAnsi="Calibri"/>
          <w:sz w:val="17"/>
          <w:szCs w:val="17"/>
        </w:rPr>
        <w:t xml:space="preserve">  Calculate extraction against the calculated head and against the assayed head, and report both.</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Bottle roller MkII 12-place with guarding</w:t>
      </w:r>
    </w:p>
    <w:p>
      <w:pPr>
        <w:pStyle w:val="ListParagraph"/>
        <w:numPr>
          <w:ilvl w:val="0"/>
          <w:numId w:val="1"/>
        </w:numPr>
        <w:spacing w:after="60" w:line="245"/>
      </w:pPr>
      <w:r>
        <w:rPr>
          <w:rFonts w:ascii="Calibri" w:cs="Calibri" w:eastAsia="Calibri" w:hAnsi="Calibri"/>
          <w:sz w:val="17"/>
          <w:szCs w:val="17"/>
        </w:rPr>
        <w:t xml:space="preserve">Bottles and caps</w:t>
      </w:r>
    </w:p>
    <w:p>
      <w:pPr>
        <w:pStyle w:val="ListParagraph"/>
        <w:numPr>
          <w:ilvl w:val="0"/>
          <w:numId w:val="1"/>
        </w:numPr>
        <w:spacing w:after="60" w:line="245"/>
      </w:pPr>
      <w:r>
        <w:rPr>
          <w:rFonts w:ascii="Calibri" w:cs="Calibri" w:eastAsia="Calibri" w:hAnsi="Calibri"/>
          <w:sz w:val="17"/>
          <w:szCs w:val="17"/>
        </w:rPr>
        <w:t xml:space="preserve">pH meter</w:t>
      </w:r>
    </w:p>
    <w:p>
      <w:pPr>
        <w:pStyle w:val="ListParagraph"/>
        <w:numPr>
          <w:ilvl w:val="0"/>
          <w:numId w:val="1"/>
        </w:numPr>
        <w:spacing w:after="60" w:line="245"/>
      </w:pPr>
      <w:r>
        <w:rPr>
          <w:rFonts w:ascii="Calibri" w:cs="Calibri" w:eastAsia="Calibri" w:hAnsi="Calibri"/>
          <w:sz w:val="17"/>
          <w:szCs w:val="17"/>
        </w:rPr>
        <w:t xml:space="preserve">Sodium cyanide solution at known strength</w:t>
      </w:r>
    </w:p>
    <w:p>
      <w:pPr>
        <w:pStyle w:val="ListParagraph"/>
        <w:numPr>
          <w:ilvl w:val="0"/>
          <w:numId w:val="1"/>
        </w:numPr>
        <w:spacing w:after="60" w:line="245"/>
      </w:pPr>
      <w:r>
        <w:rPr>
          <w:rFonts w:ascii="Calibri" w:cs="Calibri" w:eastAsia="Calibri" w:hAnsi="Calibri"/>
          <w:sz w:val="17"/>
          <w:szCs w:val="17"/>
        </w:rPr>
        <w:t xml:space="preserve">Lime</w:t>
      </w:r>
    </w:p>
    <w:p>
      <w:pPr>
        <w:pStyle w:val="ListParagraph"/>
        <w:numPr>
          <w:ilvl w:val="0"/>
          <w:numId w:val="1"/>
        </w:numPr>
        <w:spacing w:after="60" w:line="245"/>
      </w:pPr>
      <w:r>
        <w:rPr>
          <w:rFonts w:ascii="Calibri" w:cs="Calibri" w:eastAsia="Calibri" w:hAnsi="Calibri"/>
          <w:sz w:val="17"/>
          <w:szCs w:val="17"/>
        </w:rPr>
        <w:t xml:space="preserve">Filter apparatus</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Pulveriser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SWI-PRO-MET-205-007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SWI-PRO-MET-205-007.</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KBK-MIR-MP-PRO-OPE-SOP-0003 Uji Pelindian Menggunakan Bottle Roll</w:t>
      </w:r>
    </w:p>
    <w:p>
      <w:pPr>
        <w:pStyle w:val="ListParagraph"/>
        <w:numPr>
          <w:ilvl w:val="0"/>
          <w:numId w:val="1"/>
        </w:numPr>
        <w:spacing w:after="60" w:line="245"/>
      </w:pPr>
      <w:r>
        <w:rPr>
          <w:rFonts w:ascii="Calibri" w:cs="Calibri" w:eastAsia="Calibri" w:hAnsi="Calibri"/>
          <w:sz w:val="17"/>
          <w:szCs w:val="17"/>
        </w:rPr>
        <w:t xml:space="preserve">ILS quotation Q0023979 - Bottle Roller MkII 12-place with guarding</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JSEA-PRO-MET-205-007</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JSEA-PRO-MET-205-007  ·  Bottle Roll Leach Test - As-Received and Pulverised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