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CIL/CIP Sequential Triple Contact Testwork</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JSEA-PRO-MET-205-009</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SWI-PRO-MET-205-009  CIL/CIP Sequential Triple Contact Testwork</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HM-PRC-VXX-PRO209  Metallurgical Laboratory Chemical and Leach Testwork</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205  Met Lab - Chemical and Leach Testwork</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JSEA-PRO-MET-205-009 in HM-MMM-WHS-REG-JSEA-PRO-updated_10, tab JSEA_MET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cil/cip sequential triple contact testwork in 205  Met Lab - Chemical and Leach Testwork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Run the sequential triple contact test to measure adsorption performance and predict circuit behaviour.</w:t>
      </w:r>
    </w:p>
    <w:p>
      <w:pPr>
        <w:pStyle w:val="ListParagraph"/>
        <w:numPr>
          <w:ilvl w:val="0"/>
          <w:numId w:val="1"/>
        </w:numPr>
        <w:spacing w:after="60" w:line="245"/>
      </w:pPr>
      <w:r>
        <w:rPr>
          <w:rFonts w:ascii="Calibri" w:cs="Calibri" w:eastAsia="Calibri" w:hAnsi="Calibri"/>
          <w:sz w:val="17"/>
          <w:szCs w:val="17"/>
        </w:rPr>
        <w:t xml:space="preserve">It is the standard bench test for sizing and troubleshooting a carbon or resin adsorption circuit.</w:t>
      </w:r>
    </w:p>
    <w:p>
      <w:pPr>
        <w:spacing w:after="60" w:before="0" w:line="245"/>
      </w:pPr>
      <w:r>
        <w:rPr>
          <w:rFonts w:ascii="Calibri" w:cs="Calibri" w:eastAsia="Calibri" w:hAnsi="Calibri"/>
          <w:sz w:val="17"/>
          <w:szCs w:val="17"/>
        </w:rPr>
        <w:t xml:space="preserve">It is read with work instruction SWI-PRO-MET-205-009, which gives the step-by-step method, and with HM-PRC-VXX-PRO209 Metallurgical Laboratory Chemical and Leach Testwork,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Prepare the leached pulp at the plant conditions - density, pH and free cyanide.</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Hydrogen cyanide gas released at the open sample point</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Charge the first contact with the stated mass of carbon or resin and roll for the stated period.</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Hydrogen cyanide gas released at the open sample point</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Separate the carbon or resin on the screen, wash it and retain it for assay.</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Contact with an agitator, sample cutter, pump or screen that starts without warning</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Much of the plant is automated and equipment can start or stop without warning. Guards confirmed in place before approaching. Control room notified before the round starts and again on completion. Isolation and lock-out before any guard or cutter housing is opened.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10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Carry the pulp forward to the second contact with fresh carbon or resin, and repeat.</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Hydrogen cyanide gas released at the open sample point</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Repeat for the third contact.</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Hydrogen cyanide gas released at the open sample point</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Assay the solution before and after each contact and the loaded carbon or resin from each.</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Hydrogen cyanide gas released at the open sample point</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Calculate the loading achieved and the solution depletion at each contact.</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8.  Report the equilibrium loading and the kinetics implied by the three contacts.</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Acid-resistant gloves, apron and face shield</w:t>
      </w:r>
    </w:p>
    <w:p>
      <w:pPr>
        <w:pStyle w:val="ListParagraph"/>
        <w:numPr>
          <w:ilvl w:val="0"/>
          <w:numId w:val="1"/>
        </w:numPr>
        <w:spacing w:after="60" w:line="245"/>
      </w:pPr>
      <w:r>
        <w:rPr>
          <w:rFonts w:ascii="Calibri" w:cs="Calibri" w:eastAsia="Calibri" w:hAnsi="Calibri"/>
          <w:sz w:val="17"/>
          <w:szCs w:val="17"/>
        </w:rPr>
        <w:t xml:space="preserve">Chemical splash goggles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Points and equipment covered by this task:</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200"/>
        <w:gridCol w:w="11638"/>
      </w:tblGrid>
      <w:tr>
        <w:trPr>
          <w:tblHeader/>
        </w:trPr>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116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3200"/>
            <w:tcMar>
              <w:top w:type="dxa" w:w="55"/>
              <w:left w:type="dxa" w:w="85"/>
              <w:bottom w:type="dxa" w:w="55"/>
              <w:right w:type="dxa" w:w="85"/>
            </w:tcMar>
          </w:tcPr>
          <w:p>
            <w:pPr>
              <w:spacing w:after="0" w:line="235"/>
            </w:pPr>
            <w:r>
              <w:rPr>
                <w:rFonts w:ascii="Calibri" w:cs="Calibri" w:eastAsia="Calibri" w:hAnsi="Calibri"/>
                <w:sz w:val="16"/>
                <w:szCs w:val="16"/>
              </w:rPr>
              <w:t xml:space="preserve">Met lab bench</w:t>
            </w:r>
          </w:p>
        </w:tc>
        <w:tc>
          <w:tcPr>
            <w:tcW w:type="dxa" w:w="11638"/>
            <w:tcMar>
              <w:top w:type="dxa" w:w="55"/>
              <w:left w:type="dxa" w:w="85"/>
              <w:bottom w:type="dxa" w:w="55"/>
              <w:right w:type="dxa" w:w="85"/>
            </w:tcMar>
          </w:tcPr>
          <w:p>
            <w:pPr>
              <w:spacing w:after="0" w:line="235"/>
            </w:pPr>
            <w:r>
              <w:rPr>
                <w:rFonts w:ascii="Calibri" w:cs="Calibri" w:eastAsia="Calibri" w:hAnsi="Calibri"/>
                <w:sz w:val="16"/>
                <w:szCs w:val="16"/>
              </w:rPr>
              <w:t xml:space="preserve">Physical testwork bench and instrument</w:t>
            </w:r>
          </w:p>
        </w:tc>
      </w:tr>
    </w:tbl>
    <w:p>
      <w:pPr>
        <w:spacing w:after="60" w:before="0" w:line="245"/>
      </w:pPr>
    </w:p>
    <w:p>
      <w:pPr>
        <w:spacing w:after="60" w:before="0" w:line="245"/>
      </w:pPr>
      <w:r>
        <w:rPr>
          <w:rFonts w:ascii="Calibri" w:cs="Calibri" w:eastAsia="Calibri" w:hAnsi="Calibri"/>
          <w:sz w:val="17"/>
          <w:szCs w:val="17"/>
        </w:rPr>
        <w:t xml:space="preserve">Frequency: On each new ore type and when adsorption performance is being investigated.</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Prepare the leached pulp at the plant conditions - density, pH and free cyanide.</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Charge the first contact with the stated mass of carbon or resin and roll for the stated period.</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Separate the carbon or resin on the screen, wash it and retain it for assay.</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Carry the pulp forward to the second contact with fresh carbon or resin, and repeat.</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Repeat for the third contact.</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Assay the solution before and after each contact and the loaded carbon or resin from each.</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Calculate the loading achieved and the solution depletion at each contact.</w:t>
      </w:r>
    </w:p>
    <w:p>
      <w:pPr>
        <w:ind w:left="280"/>
        <w:spacing w:after="50" w:before="0" w:line="245"/>
      </w:pPr>
      <w:r>
        <w:rPr>
          <w:rFonts w:ascii="Calibri" w:cs="Calibri" w:eastAsia="Calibri" w:hAnsi="Calibri"/>
          <w:b/>
          <w:bCs/>
          <w:sz w:val="17"/>
          <w:szCs w:val="17"/>
        </w:rPr>
        <w:t xml:space="preserve">8.</w:t>
      </w:r>
      <w:r>
        <w:rPr>
          <w:rFonts w:ascii="Calibri" w:cs="Calibri" w:eastAsia="Calibri" w:hAnsi="Calibri"/>
          <w:sz w:val="17"/>
          <w:szCs w:val="17"/>
        </w:rPr>
        <w:t xml:space="preserve">  Report the equilibrium loading and the kinetics implied by the three contacts.</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Bottle roller</w:t>
      </w:r>
    </w:p>
    <w:p>
      <w:pPr>
        <w:pStyle w:val="ListParagraph"/>
        <w:numPr>
          <w:ilvl w:val="0"/>
          <w:numId w:val="1"/>
        </w:numPr>
        <w:spacing w:after="60" w:line="245"/>
      </w:pPr>
      <w:r>
        <w:rPr>
          <w:rFonts w:ascii="Calibri" w:cs="Calibri" w:eastAsia="Calibri" w:hAnsi="Calibri"/>
          <w:sz w:val="17"/>
          <w:szCs w:val="17"/>
        </w:rPr>
        <w:t xml:space="preserve">Bottles</w:t>
      </w:r>
    </w:p>
    <w:p>
      <w:pPr>
        <w:pStyle w:val="ListParagraph"/>
        <w:numPr>
          <w:ilvl w:val="0"/>
          <w:numId w:val="1"/>
        </w:numPr>
        <w:spacing w:after="60" w:line="245"/>
      </w:pPr>
      <w:r>
        <w:rPr>
          <w:rFonts w:ascii="Calibri" w:cs="Calibri" w:eastAsia="Calibri" w:hAnsi="Calibri"/>
          <w:sz w:val="17"/>
          <w:szCs w:val="17"/>
        </w:rPr>
        <w:t xml:space="preserve">Activated carbon or resin at known mass</w:t>
      </w:r>
    </w:p>
    <w:p>
      <w:pPr>
        <w:pStyle w:val="ListParagraph"/>
        <w:numPr>
          <w:ilvl w:val="0"/>
          <w:numId w:val="1"/>
        </w:numPr>
        <w:spacing w:after="60" w:line="245"/>
      </w:pPr>
      <w:r>
        <w:rPr>
          <w:rFonts w:ascii="Calibri" w:cs="Calibri" w:eastAsia="Calibri" w:hAnsi="Calibri"/>
          <w:sz w:val="17"/>
          <w:szCs w:val="17"/>
        </w:rPr>
        <w:t xml:space="preserve">Screens to separate carbon or resin</w:t>
      </w:r>
    </w:p>
    <w:p>
      <w:pPr>
        <w:pStyle w:val="ListParagraph"/>
        <w:numPr>
          <w:ilvl w:val="0"/>
          <w:numId w:val="1"/>
        </w:numPr>
        <w:spacing w:after="60" w:line="245"/>
      </w:pPr>
      <w:r>
        <w:rPr>
          <w:rFonts w:ascii="Calibri" w:cs="Calibri" w:eastAsia="Calibri" w:hAnsi="Calibri"/>
          <w:sz w:val="17"/>
          <w:szCs w:val="17"/>
        </w:rPr>
        <w:t xml:space="preserve">Filter apparatus</w:t>
      </w:r>
    </w:p>
    <w:p>
      <w:pPr>
        <w:pStyle w:val="ListParagraph"/>
        <w:numPr>
          <w:ilvl w:val="0"/>
          <w:numId w:val="1"/>
        </w:numPr>
        <w:spacing w:after="60" w:line="245"/>
      </w:pPr>
      <w:r>
        <w:rPr>
          <w:rFonts w:ascii="Calibri" w:cs="Calibri" w:eastAsia="Calibri" w:hAnsi="Calibri"/>
          <w:sz w:val="17"/>
          <w:szCs w:val="17"/>
        </w:rPr>
        <w:t xml:space="preserve">Balance</w:t>
      </w:r>
    </w:p>
    <w:p>
      <w:pPr>
        <w:pStyle w:val="ListParagraph"/>
        <w:numPr>
          <w:ilvl w:val="0"/>
          <w:numId w:val="1"/>
        </w:numPr>
        <w:spacing w:after="60" w:line="245"/>
      </w:pPr>
      <w:r>
        <w:rPr>
          <w:rFonts w:ascii="Calibri" w:cs="Calibri" w:eastAsia="Calibri" w:hAnsi="Calibri"/>
          <w:sz w:val="17"/>
          <w:szCs w:val="17"/>
        </w:rPr>
        <w:t xml:space="preserve">pH meter</w:t>
      </w:r>
    </w:p>
    <w:p>
      <w:pPr>
        <w:pStyle w:val="ListParagraph"/>
        <w:numPr>
          <w:ilvl w:val="0"/>
          <w:numId w:val="1"/>
        </w:numPr>
        <w:spacing w:after="60" w:line="245"/>
      </w:pPr>
      <w:r>
        <w:rPr>
          <w:rFonts w:ascii="Calibri" w:cs="Calibri" w:eastAsia="Calibri" w:hAnsi="Calibri"/>
          <w:sz w:val="17"/>
          <w:szCs w:val="17"/>
        </w:rPr>
        <w:t xml:space="preserve">Fume cupboard</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SWI-PRO-MET-205-009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SWI-PRO-MET-205-009.</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KBK-MIR-MP-PRO-OPE-SOP-0021 CIL Testwork Sequential Triple Contact</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JSEA-PRO-MET-205-009</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JSEA-PRO-MET-205-009  ·  CIL/CIP Sequential Triple Contact Testwork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